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w:t>
      </w:r>
      <w:r>
        <w:t xml:space="preserve"> </w:t>
      </w:r>
      <w:r>
        <w:t xml:space="preserve">-</w:t>
      </w:r>
      <w:r>
        <w:t xml:space="preserve"> </w:t>
      </w:r>
      <w:r>
        <w:t xml:space="preserve">Jeddah,</w:t>
      </w:r>
      <w:r>
        <w:t xml:space="preserve"> </w:t>
      </w:r>
      <w:r>
        <w:t xml:space="preserve">Saudi</w:t>
      </w:r>
      <w:r>
        <w:t xml:space="preserve"> </w:t>
      </w:r>
      <w:r>
        <w:t xml:space="preserve">Arabia</w:t>
      </w:r>
    </w:p>
    <w:bookmarkStart w:id="30" w:name="peer-review-report"/>
    <w:p>
      <w:pPr>
        <w:pStyle w:val="Heading1"/>
      </w:pPr>
      <w:r>
        <w:t xml:space="preserve">Peer Review Report</w:t>
      </w:r>
    </w:p>
    <w:p>
      <w:pPr>
        <w:pStyle w:val="FirstParagraph"/>
      </w:pPr>
      <w:r>
        <w:t xml:space="preserve">Subject of Review</w:t>
      </w:r>
    </w:p>
    <w:p>
      <w:pPr>
        <w:pStyle w:val="BodyText"/>
      </w:pPr>
      <w:r>
        <w:t xml:space="preserve">Civil Engineer Professional Competency</w:t>
      </w:r>
    </w:p>
    <w:p>
      <w:pPr>
        <w:pStyle w:val="BodyText"/>
      </w:pPr>
      <w:r>
        <w:t xml:space="preserve">Project Context</w:t>
      </w:r>
    </w:p>
    <w:p>
      <w:pPr>
        <w:pStyle w:val="BodyText"/>
      </w:pPr>
      <w:r>
        <w:t xml:space="preserve">High-Rise Residential Complex, Al Hamra District</w:t>
      </w:r>
    </w:p>
    <w:p>
      <w:pPr>
        <w:pStyle w:val="BodyText"/>
      </w:pPr>
      <w:r>
        <w:t xml:space="preserve">Location</w:t>
      </w:r>
    </w:p>
    <w:p>
      <w:pPr>
        <w:pStyle w:val="BodyText"/>
      </w:pPr>
      <w:r>
        <w:t xml:space="preserve">Jeddah, Saudi Arabia</w:t>
      </w:r>
    </w:p>
    <w:p>
      <w:pPr>
        <w:pStyle w:val="BodyText"/>
      </w:pPr>
      <w:r>
        <w:t xml:space="preserve">Date of Report</w:t>
      </w:r>
    </w:p>
    <w:p>
      <w:pPr>
        <w:pStyle w:val="BodyText"/>
      </w:pPr>
      <w:r>
        <w:t xml:space="preserve">October 24, 2023</w:t>
      </w:r>
    </w:p>
    <w:p>
      <w:pPr>
        <w:pStyle w:val="BodyText"/>
      </w:pPr>
      <w:r>
        <w:t xml:space="preserve">Review Reference ID</w:t>
      </w:r>
    </w:p>
    <w:p>
      <w:pPr>
        <w:pStyle w:val="BodyText"/>
      </w:pPr>
      <w:r>
        <w:t xml:space="preserve">JED-CIV-PR-2023-089</w:t>
      </w:r>
    </w:p>
    <w:bookmarkStart w:id="20" w:name="executive-summary"/>
    <w:p>
      <w:pPr>
        <w:pStyle w:val="Heading2"/>
      </w:pPr>
      <w:r>
        <w:t xml:space="preserve">1. Executive Summary</w:t>
      </w:r>
    </w:p>
    <w:p>
      <w:pPr>
        <w:pStyle w:val="FirstParagraph"/>
      </w:pPr>
      <w:r>
        <w:t xml:space="preserve">This Peer Review Report has been commissioned to evaluate the technical performance, design integrity, and regulatory compliance of the Civil Engineer responsible for the structural and geotechnical aspects of the Al Hamra High-Rise Residential Complex. The review focuses specifically on the engineer's adherence to the rigorous standards required for construction in the coastal environment of Jeddah, Saudi Arabia. The assessment covers the structural analysis, material selection, foundation design, and alignment with the Saudi Building Code (SBC).</w:t>
      </w:r>
    </w:p>
    <w:p>
      <w:pPr>
        <w:pStyle w:val="BodyText"/>
      </w:pPr>
      <w:r>
        <w:t xml:space="preserve">The overall conclusion of this review is that the Civil Engineer has demonstrated a high level of professional competence. The design effectively addresses the unique challenges posed by the local soil conditions and the aggressive marine climate. However, specific recommendations regarding corrosion protection and thermal expansion joints have been noted to ensure long-term durability and safety.</w:t>
      </w:r>
    </w:p>
    <w:bookmarkEnd w:id="20"/>
    <w:bookmarkStart w:id="21" w:name="scope-of-review"/>
    <w:p>
      <w:pPr>
        <w:pStyle w:val="Heading2"/>
      </w:pPr>
      <w:r>
        <w:t xml:space="preserve">2. Scope of Review</w:t>
      </w:r>
    </w:p>
    <w:p>
      <w:pPr>
        <w:pStyle w:val="FirstParagraph"/>
      </w:pPr>
      <w:r>
        <w:t xml:space="preserve">The scope of this evaluation encompasses the following critical areas relevant to civil engineering practice in the Kingdom of Saudi Arabia:</w:t>
      </w:r>
    </w:p>
    <w:p>
      <w:pPr>
        <w:numPr>
          <w:ilvl w:val="0"/>
          <w:numId w:val="1001"/>
        </w:numPr>
        <w:pStyle w:val="Compact"/>
      </w:pPr>
      <w:r>
        <w:rPr>
          <w:bCs/>
          <w:b/>
        </w:rPr>
        <w:t xml:space="preserve">Structural Design Compliance:</w:t>
      </w:r>
      <w:r>
        <w:t xml:space="preserve"> </w:t>
      </w:r>
      <w:r>
        <w:t xml:space="preserve">Verification against the Saudi Building Code (SBC 301) and international standards (ACI, AISC) adopted locally.</w:t>
      </w:r>
    </w:p>
    <w:p>
      <w:pPr>
        <w:numPr>
          <w:ilvl w:val="0"/>
          <w:numId w:val="1001"/>
        </w:numPr>
        <w:pStyle w:val="Compact"/>
      </w:pPr>
      <w:r>
        <w:rPr>
          <w:bCs/>
          <w:b/>
        </w:rPr>
        <w:t xml:space="preserve">Geotechnical Adaptation:</w:t>
      </w:r>
      <w:r>
        <w:t xml:space="preserve"> </w:t>
      </w:r>
      <w:r>
        <w:t xml:space="preserve">Assessment of foundation strategies considering the specific soil profile of the Jeddah coastal zone.</w:t>
      </w:r>
    </w:p>
    <w:p>
      <w:pPr>
        <w:numPr>
          <w:ilvl w:val="0"/>
          <w:numId w:val="1001"/>
        </w:numPr>
        <w:pStyle w:val="Compact"/>
      </w:pPr>
      <w:r>
        <w:rPr>
          <w:bCs/>
          <w:b/>
        </w:rPr>
        <w:t xml:space="preserve">Environmental Durability:</w:t>
      </w:r>
      <w:r>
        <w:t xml:space="preserve"> </w:t>
      </w:r>
      <w:r>
        <w:t xml:space="preserve">Evaluation of material specifications regarding resistance to high humidity, salinity, and temperature fluctuations.</w:t>
      </w:r>
    </w:p>
    <w:p>
      <w:pPr>
        <w:numPr>
          <w:ilvl w:val="0"/>
          <w:numId w:val="1001"/>
        </w:numPr>
        <w:pStyle w:val="Compact"/>
      </w:pPr>
      <w:r>
        <w:rPr>
          <w:bCs/>
          <w:b/>
        </w:rPr>
        <w:t xml:space="preserve">Seismic Resilience:</w:t>
      </w:r>
      <w:r>
        <w:t xml:space="preserve"> </w:t>
      </w:r>
      <w:r>
        <w:t xml:space="preserve">Review of lateral load resistance systems in accordance with SBC 301 seismic provisions.</w:t>
      </w:r>
    </w:p>
    <w:p>
      <w:pPr>
        <w:numPr>
          <w:ilvl w:val="0"/>
          <w:numId w:val="1001"/>
        </w:numPr>
        <w:pStyle w:val="Compact"/>
      </w:pPr>
      <w:r>
        <w:rPr>
          <w:bCs/>
          <w:b/>
        </w:rPr>
        <w:t xml:space="preserve">Project Management:</w:t>
      </w:r>
      <w:r>
        <w:t xml:space="preserve"> </w:t>
      </w:r>
      <w:r>
        <w:t xml:space="preserve">Assessment of the engineer's coordination with local authorities and construction teams.</w:t>
      </w:r>
    </w:p>
    <w:bookmarkEnd w:id="21"/>
    <w:bookmarkStart w:id="26" w:name="technical-assessment"/>
    <w:p>
      <w:pPr>
        <w:pStyle w:val="Heading2"/>
      </w:pPr>
      <w:r>
        <w:t xml:space="preserve">3. Technical Assessment</w:t>
      </w:r>
    </w:p>
    <w:bookmarkStart w:id="22" w:name="X2cd1afd9ee467d5a29a61a78b00dfc60164d2ba"/>
    <w:p>
      <w:pPr>
        <w:pStyle w:val="Heading3"/>
      </w:pPr>
      <w:r>
        <w:t xml:space="preserve">3.1 Geotechnical Engineering and Foundation Design</w:t>
      </w:r>
    </w:p>
    <w:p>
      <w:pPr>
        <w:pStyle w:val="FirstParagraph"/>
      </w:pPr>
      <w:r>
        <w:t xml:space="preserve">One of the most critical aspects of civil engineering in Jeddah is the management of soil conditions. The region is characterized by loose, silty sands and high groundwater tables, which can lead to settlement issues and liquefaction potential during seismic events. The Civil Engineer under review has proposed a deep foundation system utilizing bored piles extending into the dense sand layer.</w:t>
      </w:r>
    </w:p>
    <w:p>
      <w:pPr>
        <w:pStyle w:val="BodyText"/>
      </w:pPr>
      <w:r>
        <w:t xml:space="preserve">The peer review confirms that the geotechnical investigation was thorough. The engineer correctly interpreted the soil data and applied appropriate safety factors. The design accounts for the expansive nature of the clay layers found in certain parts of the Jeddah municipality. The load distribution calculations are robust, ensuring that differential settlement remains within the permissible limits defined by the Saudi Building Code.</w:t>
      </w:r>
    </w:p>
    <w:bookmarkEnd w:id="22"/>
    <w:bookmarkStart w:id="23" w:name="structural-integrity-and-seismic-design"/>
    <w:p>
      <w:pPr>
        <w:pStyle w:val="Heading3"/>
      </w:pPr>
      <w:r>
        <w:t xml:space="preserve">3.2 Structural Integrity and Seismic Design</w:t>
      </w:r>
    </w:p>
    <w:p>
      <w:pPr>
        <w:pStyle w:val="FirstParagraph"/>
      </w:pPr>
      <w:r>
        <w:t xml:space="preserve">While Jeddah is not located on a major fault line, the Saudi Building Code mandates strict seismic design criteria for high-rise structures. The Civil Engineer has implemented a dual structural system comprising reinforced concrete shear walls and moment-resisting frames. This approach provides the necessary stiffness and ductility to withstand lateral forces.</w:t>
      </w:r>
    </w:p>
    <w:p>
      <w:pPr>
        <w:pStyle w:val="BodyText"/>
      </w:pPr>
      <w:r>
        <w:t xml:space="preserve">The review of the structural analysis models indicates that the engineer has accurately modeled the building's dynamic properties. The reinforcement detailing complies with ACI 318 standards, which are referenced in the SBC. Particular attention was paid to the confinement of columns and beam-column joints, which is essential for energy dissipation during seismic activity.</w:t>
      </w:r>
    </w:p>
    <w:bookmarkEnd w:id="23"/>
    <w:bookmarkStart w:id="24" w:name="Xd7d2be68792814bc7e2d6d4377223713c6c9a58"/>
    <w:p>
      <w:pPr>
        <w:pStyle w:val="Heading3"/>
      </w:pPr>
      <w:r>
        <w:t xml:space="preserve">3.3 Material Durability and Environmental Factors</w:t>
      </w:r>
    </w:p>
    <w:p>
      <w:pPr>
        <w:pStyle w:val="FirstParagraph"/>
      </w:pPr>
      <w:r>
        <w:t xml:space="preserve">The coastal location of Jeddah presents a severe environment for concrete structures due to high chloride content in the air and soil. Chloride ingress can lead to the corrosion of steel reinforcement, compromising structural integrity over time. The Civil Engineer has specified high-performance concrete with a low water-cement ratio and the inclusion of supplementary cementitious materials such as fly ash or slag.</w:t>
      </w:r>
    </w:p>
    <w:p>
      <w:pPr>
        <w:pStyle w:val="BodyText"/>
      </w:pPr>
      <w:r>
        <w:t xml:space="preserve">Furthermore, the design includes adequate concrete cover thickness for all exposed elements, exceeding the minimum requirements of the SBC. The use of epoxy-coated rebar in critical zones was also recommended and approved. However, the review suggests enhancing the waterproofing specifications for the basement levels to further mitigate moisture ingress, given the high water table in this specific district of Jeddah.</w:t>
      </w:r>
    </w:p>
    <w:bookmarkEnd w:id="24"/>
    <w:bookmarkStart w:id="25" w:name="thermal-considerations"/>
    <w:p>
      <w:pPr>
        <w:pStyle w:val="Heading3"/>
      </w:pPr>
      <w:r>
        <w:t xml:space="preserve">3.4 Thermal Considerations</w:t>
      </w:r>
    </w:p>
    <w:p>
      <w:pPr>
        <w:pStyle w:val="FirstParagraph"/>
      </w:pPr>
      <w:r>
        <w:t xml:space="preserve">Jeddah experiences extreme temperatures, often exceeding 40°C (104°F). Thermal expansion and contraction can induce significant stresses in large concrete structures. The Civil Engineer has incorporated expansion joints at regular intervals throughout the building's footprint. The review confirms that the spacing of these joints is appropriate for the building's dimensions and the local climate, preventing thermal cracking.</w:t>
      </w:r>
    </w:p>
    <w:bookmarkEnd w:id="25"/>
    <w:bookmarkEnd w:id="26"/>
    <w:bookmarkStart w:id="27" w:name="X6aa9908eedfe7092c1e6d483c2886cd2e721e4e"/>
    <w:p>
      <w:pPr>
        <w:pStyle w:val="Heading2"/>
      </w:pPr>
      <w:r>
        <w:t xml:space="preserve">4. Regulatory Compliance and Professional Conduct</w:t>
      </w:r>
    </w:p>
    <w:p>
      <w:pPr>
        <w:pStyle w:val="FirstParagraph"/>
      </w:pPr>
      <w:r>
        <w:t xml:space="preserve">The Civil Engineer has demonstrated a comprehensive understanding of the regulatory landscape in Saudi Arabia. All design documents were submitted in accordance with the requirements of the Ministry of Municipal and Rural Affairs and Housing. The engineer actively engaged with the local municipality during the approval process, addressing comments promptly and professionally.</w:t>
      </w:r>
    </w:p>
    <w:p>
      <w:pPr>
        <w:pStyle w:val="BodyText"/>
      </w:pPr>
      <w:r>
        <w:t xml:space="preserve">The documentation is clear, organized, and bilingual (English and Arabic), facilitating effective communication with local contractors and inspectors. This adherence to local protocols is vital for the successful execution of projects in the Kingdom.</w:t>
      </w:r>
    </w:p>
    <w:bookmarkEnd w:id="27"/>
    <w:bookmarkStart w:id="28" w:name="recommendations"/>
    <w:p>
      <w:pPr>
        <w:pStyle w:val="Heading2"/>
      </w:pPr>
      <w:r>
        <w:t xml:space="preserve">5. Recommendations</w:t>
      </w:r>
    </w:p>
    <w:p>
      <w:pPr>
        <w:pStyle w:val="FirstParagraph"/>
      </w:pPr>
      <w:r>
        <w:t xml:space="preserve">Based on the findings of this Peer Review Report, the following recommendations are made to enhance the project's resilience and longevity:</w:t>
      </w:r>
    </w:p>
    <w:p>
      <w:pPr>
        <w:numPr>
          <w:ilvl w:val="0"/>
          <w:numId w:val="1002"/>
        </w:numPr>
        <w:pStyle w:val="Compact"/>
      </w:pPr>
      <w:r>
        <w:rPr>
          <w:bCs/>
          <w:b/>
        </w:rPr>
        <w:t xml:space="preserve">Enhanced Corrosion Monitoring:</w:t>
      </w:r>
      <w:r>
        <w:t xml:space="preserve"> </w:t>
      </w:r>
      <w:r>
        <w:t xml:space="preserve">Install corrosion monitoring sensors in the foundation piles to provide long-term data on the effectiveness of the protective measures.</w:t>
      </w:r>
    </w:p>
    <w:p>
      <w:pPr>
        <w:numPr>
          <w:ilvl w:val="0"/>
          <w:numId w:val="1002"/>
        </w:numPr>
        <w:pStyle w:val="Compact"/>
      </w:pPr>
      <w:r>
        <w:rPr>
          <w:bCs/>
          <w:b/>
        </w:rPr>
        <w:t xml:space="preserve">Waterproofing Upgrade:</w:t>
      </w:r>
      <w:r>
        <w:t xml:space="preserve"> </w:t>
      </w:r>
      <w:r>
        <w:t xml:space="preserve">Revise the basement waterproofing design to include a cavity drainage system as a secondary defense against hydrostatic pressure.</w:t>
      </w:r>
    </w:p>
    <w:p>
      <w:pPr>
        <w:numPr>
          <w:ilvl w:val="0"/>
          <w:numId w:val="1002"/>
        </w:numPr>
        <w:pStyle w:val="Compact"/>
      </w:pPr>
      <w:r>
        <w:rPr>
          <w:bCs/>
          <w:b/>
        </w:rPr>
        <w:t xml:space="preserve">Quality Control Plan:</w:t>
      </w:r>
      <w:r>
        <w:t xml:space="preserve"> </w:t>
      </w:r>
      <w:r>
        <w:t xml:space="preserve">Strengthen the site quality control plan to ensure that the concrete mix design and curing processes strictly follow the specifications, particularly during the hot summer months in Jeddah.</w:t>
      </w:r>
    </w:p>
    <w:bookmarkEnd w:id="28"/>
    <w:bookmarkStart w:id="29" w:name="conclusion"/>
    <w:p>
      <w:pPr>
        <w:pStyle w:val="Heading2"/>
      </w:pPr>
      <w:r>
        <w:t xml:space="preserve">6. Conclusion</w:t>
      </w:r>
    </w:p>
    <w:p>
      <w:pPr>
        <w:pStyle w:val="FirstParagraph"/>
      </w:pPr>
      <w:r>
        <w:t xml:space="preserve">In conclusion, the Civil Engineer has performed their duties with a high degree of professionalism and technical expertise. The design for the Al Hamra High-Rise Residential Complex is safe, compliant with the Saudi Building Code, and well-adapted to the challenging environmental conditions of Jeddah. With the implementation of the minor recommendations outlined above, the project is poised for successful completion and long-term serviceability. This Peer Review Report serves as a testament to the engineer's capability to deliver high-quality civil engineering solutions in the Kingdom of Saudi Arabia.</w:t>
      </w:r>
    </w:p>
    <w:p>
      <w:pPr>
        <w:pStyle w:val="BodyText"/>
      </w:pPr>
      <w:r>
        <w:rPr>
          <w:bCs/>
          <w:b/>
        </w:rPr>
        <w:t xml:space="preserve">Reviewed By:</w:t>
      </w:r>
      <w:r>
        <w:br/>
      </w:r>
      <w:r>
        <w:t xml:space="preserve">Dr. Ahmed Al-Fahad</w:t>
      </w:r>
      <w:r>
        <w:br/>
      </w:r>
      <w:r>
        <w:t xml:space="preserve">Senior Structural Engineer</w:t>
      </w:r>
      <w:r>
        <w:br/>
      </w:r>
      <w:r>
        <w:t xml:space="preserve">PE License No: SA-12345</w:t>
      </w:r>
    </w:p>
    <w:p>
      <w:pPr>
        <w:pStyle w:val="BodyText"/>
      </w:pPr>
      <w:r>
        <w:rPr>
          <w:bCs/>
          <w:b/>
        </w:rPr>
        <w:t xml:space="preserve">Reviewed By:</w:t>
      </w:r>
      <w:r>
        <w:br/>
      </w:r>
      <w:r>
        <w:t xml:space="preserve">Eng. Sarah Johnson</w:t>
      </w:r>
      <w:r>
        <w:br/>
      </w:r>
      <w:r>
        <w:t xml:space="preserve">Geotechnical Specialist</w:t>
      </w:r>
      <w:r>
        <w:br/>
      </w:r>
      <w:r>
        <w:t xml:space="preserve">PE License No: SA-67890</w:t>
      </w:r>
    </w:p>
    <w:p>
      <w:pPr>
        <w:pStyle w:val="BodyText"/>
      </w:pPr>
      <w:r>
        <w:t xml:space="preserve">Confidential Document - For Internal Use Only. Prepared in accordance with the standards of the Saudi Council of Engineers.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 - Jeddah, Saudi Arabia</dc:title>
  <dc:creator/>
  <dc:language>en</dc:language>
  <cp:keywords/>
  <dcterms:created xsi:type="dcterms:W3CDTF">2026-10-10T06:30:31Z</dcterms:created>
  <dcterms:modified xsi:type="dcterms:W3CDTF">2026-10-10T06:30:31Z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