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r>
        <w:t xml:space="preserve"> </w:t>
      </w:r>
      <w:r>
        <w:t xml:space="preserve">-</w:t>
      </w:r>
      <w:r>
        <w:t xml:space="preserve"> </w:t>
      </w:r>
      <w:r>
        <w:t xml:space="preserve">Brussels,</w:t>
      </w:r>
      <w:r>
        <w:t xml:space="preserve"> </w:t>
      </w:r>
      <w:r>
        <w:t xml:space="preserve">Belgium</w:t>
      </w:r>
    </w:p>
    <w:bookmarkStart w:id="20" w:name="peer-review-report"/>
    <w:p>
      <w:pPr>
        <w:pStyle w:val="Heading1"/>
      </w:pPr>
      <w:r>
        <w:t xml:space="preserve">Peer Review Report</w:t>
      </w:r>
    </w:p>
    <w:p>
      <w:pPr>
        <w:pStyle w:val="FirstParagraph"/>
      </w:pPr>
      <w:r>
        <w:t xml:space="preserve">Role: Curriculum Developer</w:t>
      </w:r>
    </w:p>
    <w:p>
      <w:pPr>
        <w:pStyle w:val="BodyText"/>
      </w:pPr>
      <w:r>
        <w:rPr>
          <w:bCs/>
          <w:b/>
        </w:rPr>
        <w:t xml:space="preserve">Location:</w:t>
      </w:r>
      <w:r>
        <w:t xml:space="preserve"> </w:t>
      </w:r>
      <w:r>
        <w:t xml:space="preserve">Brussels, Belgium</w:t>
      </w:r>
    </w:p>
    <w:p>
      <w:pPr>
        <w:pStyle w:val="BodyText"/>
      </w:pPr>
      <w:r>
        <w:rPr>
          <w:bCs/>
          <w:b/>
        </w:rPr>
        <w:t xml:space="preserve">Date:</w:t>
      </w:r>
      <w:r>
        <w:t xml:space="preserve"> </w:t>
      </w:r>
      <w:r>
        <w:t xml:space="preserve">October 24, 2023</w:t>
      </w:r>
    </w:p>
    <w:p>
      <w:pPr>
        <w:pStyle w:val="BodyText"/>
      </w:pPr>
      <w:r>
        <w:rPr>
          <w:bCs/>
          <w:b/>
        </w:rPr>
        <w:t xml:space="preserve">Review Cycle:</w:t>
      </w:r>
      <w:r>
        <w:t xml:space="preserve"> </w:t>
      </w:r>
      <w:r>
        <w:t xml:space="preserve">Q4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professional performance, technical expertise, and collaborative contributions of the</w:t>
      </w:r>
      <w:r>
        <w:t xml:space="preserve"> </w:t>
      </w:r>
      <w:r>
        <w:rPr>
          <w:bCs/>
          <w:b/>
        </w:rPr>
        <w:t xml:space="preserve">Curriculum Developer</w:t>
      </w:r>
      <w:r>
        <w:t xml:space="preserve"> </w:t>
      </w:r>
      <w:r>
        <w:t xml:space="preserve">based in</w:t>
      </w:r>
      <w:r>
        <w:t xml:space="preserve"> </w:t>
      </w:r>
      <w:r>
        <w:rPr>
          <w:bCs/>
          <w:b/>
        </w:rPr>
        <w:t xml:space="preserve">Belgium Brussels</w:t>
      </w:r>
      <w:r>
        <w:t xml:space="preserve">. The review period covers the last six months of instructional design activities, focusing on the alignment of educational content with the diverse, multilingual, and multicultural standards required by the Brussels-Capital Region. The subject has demonstrated a high level of competence in translating complex pedagogical theories into practical, engaging learning modules that resonate with the specific demographic of Brussels.</w:t>
      </w:r>
    </w:p>
    <w:p>
      <w:pPr>
        <w:pStyle w:val="BodyText"/>
      </w:pPr>
      <w:r>
        <w:t xml:space="preserve">The primary objective of this assessment is to ensure that the curriculum development processes adhere to the rigorous quality standards expected in the Belgian educational and corporate training sectors. The review highlights significant achievements in localization, stakeholder management, and digital integration, while also identifying areas for strategic growth.</w:t>
      </w:r>
    </w:p>
    <w:bookmarkEnd w:id="21"/>
    <w:bookmarkStart w:id="22" w:name="X90bd8fd6c4b1a8e23f8ea3750cffed9c18532fa"/>
    <w:p>
      <w:pPr>
        <w:pStyle w:val="Heading2"/>
      </w:pPr>
      <w:r>
        <w:t xml:space="preserve">2. Contextual Alignment: The Brussels Environment</w:t>
      </w:r>
    </w:p>
    <w:p>
      <w:pPr>
        <w:pStyle w:val="FirstParagraph"/>
      </w:pPr>
      <w:r>
        <w:t xml:space="preserve">Operating as a</w:t>
      </w:r>
      <w:r>
        <w:t xml:space="preserve"> </w:t>
      </w:r>
      <w:r>
        <w:rPr>
          <w:bCs/>
          <w:b/>
        </w:rPr>
        <w:t xml:space="preserve">Curriculum Developer</w:t>
      </w:r>
      <w:r>
        <w:t xml:space="preserve"> </w:t>
      </w:r>
      <w:r>
        <w:t xml:space="preserve">in</w:t>
      </w:r>
      <w:r>
        <w:t xml:space="preserve"> </w:t>
      </w:r>
      <w:r>
        <w:rPr>
          <w:bCs/>
          <w:b/>
        </w:rPr>
        <w:t xml:space="preserve">Belgium Brussels</w:t>
      </w:r>
      <w:r>
        <w:t xml:space="preserve"> </w:t>
      </w:r>
      <w:r>
        <w:t xml:space="preserve">presents unique challenges and opportunities. Brussels is not merely a geographic location but a complex ecosystem characterized by linguistic diversity (French, Dutch, English) and a high concentration of international organizations, NGOs, and EU institutions. Consequently, the curriculum developed must be culturally sensitive, linguistically precise, and adaptable to various regulatory frameworks.</w:t>
      </w:r>
    </w:p>
    <w:p>
      <w:pPr>
        <w:pStyle w:val="BodyText"/>
      </w:pPr>
      <w:r>
        <w:t xml:space="preserve">The subject has shown exceptional awareness of this context. Unlike generic curriculum design, the work produced here requires a nuanced understanding of the "Brussels factor." The</w:t>
      </w:r>
      <w:r>
        <w:t xml:space="preserve"> </w:t>
      </w:r>
      <w:r>
        <w:rPr>
          <w:bCs/>
          <w:b/>
        </w:rPr>
        <w:t xml:space="preserve">Peer Review Report</w:t>
      </w:r>
      <w:r>
        <w:t xml:space="preserve"> </w:t>
      </w:r>
      <w:r>
        <w:t xml:space="preserve">confirms that the developer successfully navigated these complexities. For instance, recent training modules for compliance and soft skills were effectively tailored to accommodate a multinational audience, ensuring that cultural references were inclusive and that language barriers were minimized through clear, accessible instructional design.</w:t>
      </w:r>
    </w:p>
    <w:bookmarkEnd w:id="22"/>
    <w:bookmarkStart w:id="23" w:name="X8035e93dc5ca6301fd218c0e9488b0f7b2a4904"/>
    <w:p>
      <w:pPr>
        <w:pStyle w:val="Heading2"/>
      </w:pPr>
      <w:r>
        <w:t xml:space="preserve">3. Technical Competence and Instructional Design</w:t>
      </w:r>
    </w:p>
    <w:p>
      <w:pPr>
        <w:pStyle w:val="FirstParagraph"/>
      </w:pPr>
      <w:r>
        <w:t xml:space="preserve">The core function of the</w:t>
      </w:r>
      <w:r>
        <w:t xml:space="preserve"> </w:t>
      </w:r>
      <w:r>
        <w:rPr>
          <w:bCs/>
          <w:b/>
        </w:rPr>
        <w:t xml:space="preserve">Curriculum Developer</w:t>
      </w:r>
      <w:r>
        <w:t xml:space="preserve"> </w:t>
      </w:r>
      <w:r>
        <w:t xml:space="preserve">is to create structured, effective learning experiences. During this review period, the subject demonstrated mastery in several key areas:</w:t>
      </w:r>
    </w:p>
    <w:p>
      <w:pPr>
        <w:numPr>
          <w:ilvl w:val="0"/>
          <w:numId w:val="1001"/>
        </w:numPr>
        <w:pStyle w:val="Compact"/>
      </w:pPr>
      <w:r>
        <w:rPr>
          <w:bCs/>
          <w:b/>
        </w:rPr>
        <w:t xml:space="preserve">Needs Analysis:</w:t>
      </w:r>
      <w:r>
        <w:t xml:space="preserve"> </w:t>
      </w:r>
      <w:r>
        <w:t xml:space="preserve">The developer conducted thorough needs assessments, engaging with stakeholders across Brussels-based entities to identify skill gaps. This data-driven approach ensured that the resulting curriculum was relevant and impactful.</w:t>
      </w:r>
    </w:p>
    <w:p>
      <w:pPr>
        <w:numPr>
          <w:ilvl w:val="0"/>
          <w:numId w:val="1001"/>
        </w:numPr>
        <w:pStyle w:val="Compact"/>
      </w:pPr>
      <w:r>
        <w:rPr>
          <w:bCs/>
          <w:b/>
        </w:rPr>
        <w:t xml:space="preserve">Content Creation:</w:t>
      </w:r>
      <w:r>
        <w:t xml:space="preserve"> </w:t>
      </w:r>
      <w:r>
        <w:t xml:space="preserve">The quality of the written and multimedia content is exemplary. The material is not only factually accurate but also engaging, utilizing a variety of formats including interactive e-learning, workshops, and self-paced guides.</w:t>
      </w:r>
    </w:p>
    <w:p>
      <w:pPr>
        <w:numPr>
          <w:ilvl w:val="0"/>
          <w:numId w:val="1001"/>
        </w:numPr>
        <w:pStyle w:val="Compact"/>
      </w:pPr>
      <w:r>
        <w:rPr>
          <w:bCs/>
          <w:b/>
        </w:rPr>
        <w:t xml:space="preserve">Assessment Design:</w:t>
      </w:r>
      <w:r>
        <w:t xml:space="preserve"> </w:t>
      </w:r>
      <w:r>
        <w:t xml:space="preserve">The evaluation tools created by the developer are robust and aligned with learning objectives. They effectively measure learner progress and provide actionable feedback.</w:t>
      </w:r>
    </w:p>
    <w:p>
      <w:pPr>
        <w:pStyle w:val="FirstParagraph"/>
      </w:pPr>
      <w:r>
        <w:t xml:space="preserve">Furthermore, the integration of technology is commendable. The developer has leveraged modern Learning Management Systems (LMS) and authoring tools to create seamless learning experiences. This technical proficiency is crucial in</w:t>
      </w:r>
      <w:r>
        <w:t xml:space="preserve"> </w:t>
      </w:r>
      <w:r>
        <w:rPr>
          <w:bCs/>
          <w:b/>
        </w:rPr>
        <w:t xml:space="preserve">Belgium Brussels</w:t>
      </w:r>
      <w:r>
        <w:t xml:space="preserve">, where organizations expect high-quality digital solutions.</w:t>
      </w:r>
    </w:p>
    <w:bookmarkEnd w:id="23"/>
    <w:bookmarkStart w:id="24" w:name="collaboration-and-stakeholder-management"/>
    <w:p>
      <w:pPr>
        <w:pStyle w:val="Heading2"/>
      </w:pPr>
      <w:r>
        <w:t xml:space="preserve">4. Collaboration and Stakeholder Management</w:t>
      </w:r>
    </w:p>
    <w:p>
      <w:pPr>
        <w:pStyle w:val="FirstParagraph"/>
      </w:pPr>
      <w:r>
        <w:t xml:space="preserve">A</w:t>
      </w:r>
      <w:r>
        <w:t xml:space="preserve"> </w:t>
      </w:r>
      <w:r>
        <w:rPr>
          <w:bCs/>
          <w:b/>
        </w:rPr>
        <w:t xml:space="preserve">Curriculum Developer</w:t>
      </w:r>
      <w:r>
        <w:t xml:space="preserve"> </w:t>
      </w:r>
      <w:r>
        <w:t xml:space="preserve">does not work in isolation. Success depends heavily on collaboration with subject matter experts (SMEs), instructional designers, and organizational leaders. This</w:t>
      </w:r>
      <w:r>
        <w:t xml:space="preserve"> </w:t>
      </w:r>
      <w:r>
        <w:rPr>
          <w:bCs/>
          <w:b/>
        </w:rPr>
        <w:t xml:space="preserve">Peer Review Report</w:t>
      </w:r>
      <w:r>
        <w:t xml:space="preserve"> </w:t>
      </w:r>
      <w:r>
        <w:t xml:space="preserve">highlights the subject's strong interpersonal skills and ability to manage diverse stakeholder expectations.</w:t>
      </w:r>
    </w:p>
    <w:p>
      <w:pPr>
        <w:pStyle w:val="BodyText"/>
      </w:pPr>
      <w:r>
        <w:t xml:space="preserve">In the Brussels context, stakeholders often come from different cultural and professional backgrounds. The developer has demonstrated the ability to communicate effectively with French-speaking, Dutch-speaking, and English-speaking teams, fostering a collaborative environment. Feedback from peers indicates that the developer is approachable, receptive to critique, and proactive in seeking input. This collaborative spirit has been instrumental in the successful launch of several cross-departmental training initiatives.</w:t>
      </w:r>
    </w:p>
    <w:bookmarkEnd w:id="24"/>
    <w:bookmarkStart w:id="25" w:name="areas-for-improvement"/>
    <w:p>
      <w:pPr>
        <w:pStyle w:val="Heading2"/>
      </w:pPr>
      <w:r>
        <w:t xml:space="preserve">5. Areas for Improvement</w:t>
      </w:r>
    </w:p>
    <w:p>
      <w:pPr>
        <w:pStyle w:val="FirstParagraph"/>
      </w:pPr>
      <w:r>
        <w:t xml:space="preserve">While the performance of the</w:t>
      </w:r>
      <w:r>
        <w:t xml:space="preserve"> </w:t>
      </w:r>
      <w:r>
        <w:rPr>
          <w:bCs/>
          <w:b/>
        </w:rPr>
        <w:t xml:space="preserve">Curriculum Developer</w:t>
      </w:r>
      <w:r>
        <w:t xml:space="preserve"> </w:t>
      </w:r>
      <w:r>
        <w:t xml:space="preserve">is largely positive, this</w:t>
      </w:r>
      <w:r>
        <w:t xml:space="preserve"> </w:t>
      </w:r>
      <w:r>
        <w:rPr>
          <w:bCs/>
          <w:b/>
        </w:rPr>
        <w:t xml:space="preserve">Peer Review Report</w:t>
      </w:r>
      <w:r>
        <w:t xml:space="preserve"> </w:t>
      </w:r>
      <w:r>
        <w:t xml:space="preserve">identifies specific areas for enhancement to ensure continued growth and excellence:</w:t>
      </w:r>
    </w:p>
    <w:p>
      <w:pPr>
        <w:numPr>
          <w:ilvl w:val="0"/>
          <w:numId w:val="1002"/>
        </w:numPr>
        <w:pStyle w:val="Compact"/>
      </w:pPr>
      <w:r>
        <w:rPr>
          <w:bCs/>
          <w:b/>
        </w:rPr>
        <w:t xml:space="preserve">Advanced Data Analytics:</w:t>
      </w:r>
      <w:r>
        <w:t xml:space="preserve"> </w:t>
      </w:r>
      <w:r>
        <w:t xml:space="preserve">While the developer uses basic metrics, there is an opportunity to deepen the use of learning analytics to predict learner behavior and optimize curriculum performance in real-time.</w:t>
      </w:r>
    </w:p>
    <w:p>
      <w:pPr>
        <w:numPr>
          <w:ilvl w:val="0"/>
          <w:numId w:val="1002"/>
        </w:numPr>
        <w:pStyle w:val="Compact"/>
      </w:pPr>
      <w:r>
        <w:rPr>
          <w:bCs/>
          <w:b/>
        </w:rPr>
        <w:t xml:space="preserve">Microlearning Strategies:</w:t>
      </w:r>
      <w:r>
        <w:t xml:space="preserve"> </w:t>
      </w:r>
      <w:r>
        <w:t xml:space="preserve">Given the fast-paced nature of the Brussels professional environment, incorporating more microlearning elements could increase engagement and knowledge retention.</w:t>
      </w:r>
    </w:p>
    <w:p>
      <w:pPr>
        <w:numPr>
          <w:ilvl w:val="0"/>
          <w:numId w:val="1002"/>
        </w:numPr>
        <w:pStyle w:val="Compact"/>
      </w:pPr>
      <w:r>
        <w:rPr>
          <w:bCs/>
          <w:b/>
        </w:rPr>
        <w:t xml:space="preserve">Regulatory Updates:</w:t>
      </w:r>
      <w:r>
        <w:t xml:space="preserve"> </w:t>
      </w:r>
      <w:r>
        <w:t xml:space="preserve">Continuous monitoring of evolving educational and corporate regulations in Belgium and the EU is recommended to ensure all curriculum remains fully compliant.</w:t>
      </w:r>
    </w:p>
    <w:bookmarkEnd w:id="25"/>
    <w:bookmarkStart w:id="26" w:name="conclusion-and-recommendations"/>
    <w:p>
      <w:pPr>
        <w:pStyle w:val="Heading2"/>
      </w:pPr>
      <w:r>
        <w:t xml:space="preserve">6. Conclusion and Recommendations</w:t>
      </w:r>
    </w:p>
    <w:p>
      <w:pPr>
        <w:pStyle w:val="FirstParagraph"/>
      </w:pPr>
      <w:r>
        <w:rPr>
          <w:bCs/>
          <w:b/>
        </w:rPr>
        <w:t xml:space="preserve">Overall Performance Rating: Exceeds Expectations</w:t>
      </w:r>
    </w:p>
    <w:p>
      <w:pPr>
        <w:pStyle w:val="BodyText"/>
      </w:pPr>
      <w:r>
        <w:t xml:space="preserve">The</w:t>
      </w:r>
      <w:r>
        <w:t xml:space="preserve"> </w:t>
      </w:r>
      <w:r>
        <w:rPr>
          <w:bCs/>
          <w:b/>
        </w:rPr>
        <w:t xml:space="preserve">Curriculum Developer</w:t>
      </w:r>
      <w:r>
        <w:t xml:space="preserve"> </w:t>
      </w:r>
      <w:r>
        <w:t xml:space="preserve">has made significant contributions to the organization's learning and development goals. Their ability to tailor content to the unique needs of</w:t>
      </w:r>
      <w:r>
        <w:t xml:space="preserve"> </w:t>
      </w:r>
      <w:r>
        <w:rPr>
          <w:bCs/>
          <w:b/>
        </w:rPr>
        <w:t xml:space="preserve">Belgium Brussels</w:t>
      </w:r>
      <w:r>
        <w:t xml:space="preserve"> </w:t>
      </w:r>
      <w:r>
        <w:t xml:space="preserve">sets a high standard for the team.</w:t>
      </w:r>
    </w:p>
    <w:p>
      <w:pPr>
        <w:pStyle w:val="BodyText"/>
      </w:pPr>
      <w:r>
        <w:t xml:space="preserve">Based on the findings of this</w:t>
      </w:r>
      <w:r>
        <w:t xml:space="preserve"> </w:t>
      </w:r>
      <w:r>
        <w:rPr>
          <w:bCs/>
          <w:b/>
        </w:rPr>
        <w:t xml:space="preserve">Peer Review Report</w:t>
      </w:r>
      <w:r>
        <w:t xml:space="preserve">, it is recommended that the developer be given opportunities to lead larger, strategic curriculum projects. Additionally, providing training in advanced learning analytics and emerging instructional design trends would further enhance their capabilities. The developer is encouraged to continue leveraging their cultural and linguistic strengths to create inclusive, high-impact learning solutions.</w:t>
      </w:r>
    </w:p>
    <w:p>
      <w:pPr>
        <w:pStyle w:val="BodyText"/>
      </w:pPr>
      <w:r>
        <w:t xml:space="preserve">In conclusion, the</w:t>
      </w:r>
      <w:r>
        <w:t xml:space="preserve"> </w:t>
      </w:r>
      <w:r>
        <w:rPr>
          <w:bCs/>
          <w:b/>
        </w:rPr>
        <w:t xml:space="preserve">Curriculum Developer</w:t>
      </w:r>
      <w:r>
        <w:t xml:space="preserve"> </w:t>
      </w:r>
      <w:r>
        <w:t xml:space="preserve">is a valuable asset to the organization. Their work not only meets but often exceeds the expectations set for this role within the dynamic environment of</w:t>
      </w:r>
      <w:r>
        <w:t xml:space="preserve"> </w:t>
      </w:r>
      <w:r>
        <w:rPr>
          <w:bCs/>
          <w:b/>
        </w:rPr>
        <w:t xml:space="preserve">Belgium Brussels</w:t>
      </w:r>
      <w:r>
        <w:t xml:space="preserve">. This report serves as a testament to their dedication, expertise, and commitment to educational excellence.</w:t>
      </w:r>
    </w:p>
    <w:bookmarkEnd w:id="26"/>
    <w:p>
      <w:pPr>
        <w:pStyle w:val="BodyText"/>
      </w:pPr>
      <w:r>
        <w:rPr>
          <w:bCs/>
          <w:b/>
        </w:rPr>
        <w:t xml:space="preserve">Reviewer Name</w:t>
      </w:r>
      <w:r>
        <w:br/>
      </w:r>
      <w:r>
        <w:t xml:space="preserve">Senior Instructional Designer</w:t>
      </w:r>
      <w:r>
        <w:br/>
      </w:r>
      <w:r>
        <w:t xml:space="preserve">Brussels Office</w:t>
      </w:r>
    </w:p>
    <w:p>
      <w:pPr>
        <w:pStyle w:val="BodyText"/>
      </w:pPr>
      <w:r>
        <w:rPr>
          <w:bCs/>
          <w:b/>
        </w:rPr>
        <w:t xml:space="preserve">Curriculum Developer</w:t>
      </w:r>
      <w:r>
        <w:br/>
      </w:r>
      <w:r>
        <w:t xml:space="preserve">Acknowledged By</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 - Brussels, Belgium</dc:title>
  <dc:creator/>
  <dc:language>en</dc:language>
  <cp:keywords/>
  <dcterms:created xsi:type="dcterms:W3CDTF">2026-10-10T04:00:18Z</dcterms:created>
  <dcterms:modified xsi:type="dcterms:W3CDTF">2026-10-10T04:00:18Z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