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Educational Strategist</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competencies, and strategic contributions of the Curriculum Developer role within our organization based in Frankfurt, Germany. The purpose of this document is to evaluate the effectiveness of the curriculum design processes, alignment with international educational standards, and the integration of local German regulatory requirements. The review highlights significant achievements in pedagogical innovation while identifying areas for optimization to better serve the diverse educational landscape of the Frankfurt metropolitan area.</w:t>
      </w:r>
    </w:p>
    <w:bookmarkEnd w:id="21"/>
    <w:bookmarkStart w:id="22" w:name="X28397dbd6a223d0c6f70e68f08b32a4aca91a47"/>
    <w:p>
      <w:pPr>
        <w:pStyle w:val="Heading2"/>
      </w:pPr>
      <w:r>
        <w:t xml:space="preserve">2. Contextual Alignment: Germany and Frankfurt</w:t>
      </w:r>
    </w:p>
    <w:p>
      <w:pPr>
        <w:pStyle w:val="FirstParagraph"/>
      </w:pPr>
      <w:r>
        <w:t xml:space="preserve">Operating as a Curriculum Developer in Frankfurt, Germany, requires a nuanced understanding of both the federal structure of the German education system and the specific cultural dynamics of Hesse. The review confirms that the subject has demonstrated a strong grasp of the</w:t>
      </w:r>
      <w:r>
        <w:t xml:space="preserve"> </w:t>
      </w:r>
      <w:r>
        <w:rPr>
          <w:iCs/>
          <w:i/>
        </w:rPr>
        <w:t xml:space="preserve">Kerncurriculum</w:t>
      </w:r>
      <w:r>
        <w:t xml:space="preserve"> </w:t>
      </w:r>
      <w:r>
        <w:t xml:space="preserve">(core curriculum) mandates set by the Hessian Ministry of Education.</w:t>
      </w:r>
    </w:p>
    <w:p>
      <w:pPr>
        <w:pStyle w:val="BodyText"/>
      </w:pPr>
      <w:r>
        <w:t xml:space="preserve">Furthermore, the developer has successfully adapted learning materials to reflect the multicultural reality of Frankfurt. As a global financial hub and a city with a high percentage of international residents, the curriculum must be inclusive and linguistically accessible. The report notes commendable efforts in creating bilingual resources and culturally responsive teaching modules that resonate with students from diverse backgrounds, ensuring that the educational content is not only compliant with German standards but also relevant to the local community.</w:t>
      </w:r>
    </w:p>
    <w:bookmarkEnd w:id="22"/>
    <w:bookmarkStart w:id="23" w:name="Xfc7a7d226aa9c7b28edf1bcc13d37f303424a69"/>
    <w:p>
      <w:pPr>
        <w:pStyle w:val="Heading2"/>
      </w:pPr>
      <w:r>
        <w:t xml:space="preserve">3. Evaluation of Curriculum Design and Pedagogy</w:t>
      </w:r>
    </w:p>
    <w:p>
      <w:pPr>
        <w:pStyle w:val="FirstParagraph"/>
      </w:pPr>
      <w:r>
        <w:t xml:space="preserve">The core function of the Curriculum Developer is to create structured, engaging, and effective learning pathways. This peer review assesses the quality of the instructional design models employed. The subject has consistently utilized backward design principles, ensuring that learning objectives are clearly defined before content is developed.</w:t>
      </w:r>
    </w:p>
    <w:p>
      <w:pPr>
        <w:pStyle w:val="BodyText"/>
      </w:pPr>
      <w:r>
        <w:rPr>
          <w:bCs/>
          <w:b/>
        </w:rPr>
        <w:t xml:space="preserve">Strengths:</w:t>
      </w:r>
    </w:p>
    <w:p>
      <w:pPr>
        <w:numPr>
          <w:ilvl w:val="0"/>
          <w:numId w:val="1001"/>
        </w:numPr>
        <w:pStyle w:val="Compact"/>
      </w:pPr>
      <w:r>
        <w:rPr>
          <w:bCs/>
          <w:b/>
        </w:rPr>
        <w:t xml:space="preserve">Alignment with Competencies:</w:t>
      </w:r>
      <w:r>
        <w:t xml:space="preserve"> </w:t>
      </w:r>
      <w:r>
        <w:t xml:space="preserve">The developed curricula effectively map to the key competencies required by the German Abitur and vocational training standards.</w:t>
      </w:r>
    </w:p>
    <w:p>
      <w:pPr>
        <w:numPr>
          <w:ilvl w:val="0"/>
          <w:numId w:val="1001"/>
        </w:numPr>
        <w:pStyle w:val="Compact"/>
      </w:pPr>
      <w:r>
        <w:rPr>
          <w:bCs/>
          <w:b/>
        </w:rPr>
        <w:t xml:space="preserve">Differentiation:</w:t>
      </w:r>
      <w:r>
        <w:t xml:space="preserve"> </w:t>
      </w:r>
      <w:r>
        <w:t xml:space="preserve">Materials are well-differentiated to accommodate various learning styles and proficiency levels, which is crucial in the heterogeneous classrooms often found in Frankfurt.</w:t>
      </w:r>
    </w:p>
    <w:p>
      <w:pPr>
        <w:numPr>
          <w:ilvl w:val="0"/>
          <w:numId w:val="1001"/>
        </w:numPr>
        <w:pStyle w:val="Compact"/>
      </w:pPr>
      <w:r>
        <w:rPr>
          <w:bCs/>
          <w:b/>
        </w:rPr>
        <w:t xml:space="preserve">Interdisciplinary Approach:</w:t>
      </w:r>
      <w:r>
        <w:t xml:space="preserve"> </w:t>
      </w:r>
      <w:r>
        <w:t xml:space="preserve">There is a notable strength in creating interdisciplinary units that connect subjects such as economics, mathematics, and language, reflecting the professional environment of Frankfurt.</w:t>
      </w:r>
    </w:p>
    <w:p>
      <w:pPr>
        <w:pStyle w:val="FirstParagraph"/>
      </w:pPr>
      <w:r>
        <w:rPr>
          <w:bCs/>
          <w:b/>
        </w:rPr>
        <w:t xml:space="preserve">Areas for Improvement:</w:t>
      </w:r>
    </w:p>
    <w:p>
      <w:pPr>
        <w:numPr>
          <w:ilvl w:val="0"/>
          <w:numId w:val="1002"/>
        </w:numPr>
        <w:pStyle w:val="Compact"/>
      </w:pPr>
      <w:r>
        <w:rPr>
          <w:bCs/>
          <w:b/>
        </w:rPr>
        <w:t xml:space="preserve">Digital Integration:</w:t>
      </w:r>
      <w:r>
        <w:t xml:space="preserve"> </w:t>
      </w:r>
      <w:r>
        <w:t xml:space="preserve">While the content is robust, the integration of advanced digital learning tools and AI-driven adaptive learning platforms could be enhanced to meet the expectations of modern German students.</w:t>
      </w:r>
    </w:p>
    <w:p>
      <w:pPr>
        <w:numPr>
          <w:ilvl w:val="0"/>
          <w:numId w:val="1002"/>
        </w:numPr>
        <w:pStyle w:val="Compact"/>
      </w:pPr>
      <w:r>
        <w:rPr>
          <w:bCs/>
          <w:b/>
        </w:rPr>
        <w:t xml:space="preserve">Assessment Variety:</w:t>
      </w:r>
      <w:r>
        <w:t xml:space="preserve"> </w:t>
      </w:r>
      <w:r>
        <w:t xml:space="preserve">The review suggests expanding the variety of formative assessment strategies beyond traditional testing to include project-based evaluations.</w:t>
      </w:r>
    </w:p>
    <w:bookmarkEnd w:id="23"/>
    <w:bookmarkStart w:id="24" w:name="collaboration-and-stakeholder-engagement"/>
    <w:p>
      <w:pPr>
        <w:pStyle w:val="Heading2"/>
      </w:pPr>
      <w:r>
        <w:t xml:space="preserve">4. Collaboration and Stakeholder Engagement</w:t>
      </w:r>
    </w:p>
    <w:p>
      <w:pPr>
        <w:pStyle w:val="FirstParagraph"/>
      </w:pPr>
      <w:r>
        <w:t xml:space="preserve">A successful Curriculum Developer in Germany must navigate a complex network of stakeholders, including teachers, school administrators, parents, and government officials. This report evaluates the subject's ability to collaborate effectively within this ecosystem.</w:t>
      </w:r>
    </w:p>
    <w:p>
      <w:pPr>
        <w:pStyle w:val="BodyText"/>
      </w:pPr>
      <w:r>
        <w:t xml:space="preserve">The subject has demonstrated excellent communication skills, particularly in facilitating workshops for teachers on how to implement new curricular frameworks. Feedback from Frankfurt-based educators indicates that the developer is approachable and responsive to classroom realities. However, the review recommends increasing engagement with local industry partners. Given Frankfurt's status as a financial and logistics center, stronger ties with local businesses could enhance the vocational relevance of the curriculum, providing students with clearer pathways to employment in the region.</w:t>
      </w:r>
    </w:p>
    <w:bookmarkEnd w:id="24"/>
    <w:bookmarkStart w:id="25" w:name="compliance-and-quality-assurance"/>
    <w:p>
      <w:pPr>
        <w:pStyle w:val="Heading2"/>
      </w:pPr>
      <w:r>
        <w:t xml:space="preserve">5. Compliance and Quality Assurance</w:t>
      </w:r>
    </w:p>
    <w:p>
      <w:pPr>
        <w:pStyle w:val="FirstParagraph"/>
      </w:pPr>
      <w:r>
        <w:t xml:space="preserve">Adherence to legal and educational standards is non-negotiable in the German context. The Peer Review Report confirms that all developed materials comply with the</w:t>
      </w:r>
      <w:r>
        <w:t xml:space="preserve"> </w:t>
      </w:r>
      <w:r>
        <w:rPr>
          <w:iCs/>
          <w:i/>
        </w:rPr>
        <w:t xml:space="preserve">Bildungsstandards</w:t>
      </w:r>
      <w:r>
        <w:t xml:space="preserve"> </w:t>
      </w:r>
      <w:r>
        <w:t xml:space="preserve">(educational standards) and data protection regulations (GDPR), which are strictly enforced in Germany. The documentation processes are thorough, ensuring transparency and accountability in the curriculum development lifecycle.</w:t>
      </w:r>
    </w:p>
    <w:p>
      <w:pPr>
        <w:pStyle w:val="BodyText"/>
      </w:pPr>
      <w:r>
        <w:t xml:space="preserve">The subject has also shown diligence in keeping the curriculum up-to-date with recent educational reforms in Hesse. This proactive approach to compliance ensures that the institution remains in good standing with regulatory bodies and maintains its reputation for academic excellence.</w:t>
      </w:r>
    </w:p>
    <w:bookmarkEnd w:id="25"/>
    <w:bookmarkStart w:id="26" w:name="recommendations-and-future-directions"/>
    <w:p>
      <w:pPr>
        <w:pStyle w:val="Heading2"/>
      </w:pPr>
      <w:r>
        <w:t xml:space="preserve">6. Recommendations and Future Directions</w:t>
      </w:r>
    </w:p>
    <w:p>
      <w:pPr>
        <w:pStyle w:val="FirstParagraph"/>
      </w:pPr>
      <w:r>
        <w:t xml:space="preserve">Based on the findings of this Peer Review Report, the following recommendations are proposed for the Curriculum Developer to further enhance their impact in Frankfurt, Germany:</w:t>
      </w:r>
    </w:p>
    <w:p>
      <w:pPr>
        <w:numPr>
          <w:ilvl w:val="0"/>
          <w:numId w:val="1003"/>
        </w:numPr>
        <w:pStyle w:val="Compact"/>
      </w:pPr>
      <w:r>
        <w:rPr>
          <w:bCs/>
          <w:b/>
        </w:rPr>
        <w:t xml:space="preserve">Enhance Digital Literacy Modules:</w:t>
      </w:r>
      <w:r>
        <w:t xml:space="preserve"> </w:t>
      </w:r>
      <w:r>
        <w:t xml:space="preserve">Integrate more robust digital literacy components into the curriculum to prepare students for the tech-driven economy of Frankfurt.</w:t>
      </w:r>
    </w:p>
    <w:p>
      <w:pPr>
        <w:numPr>
          <w:ilvl w:val="0"/>
          <w:numId w:val="1003"/>
        </w:numPr>
        <w:pStyle w:val="Compact"/>
      </w:pPr>
      <w:r>
        <w:rPr>
          <w:bCs/>
          <w:b/>
        </w:rPr>
        <w:t xml:space="preserve">Strengthen Industry Partnerships:</w:t>
      </w:r>
      <w:r>
        <w:t xml:space="preserve"> </w:t>
      </w:r>
      <w:r>
        <w:t xml:space="preserve">Initiate formal collaborations with Frankfurt-based companies to co-create vocational modules and internship opportunities.</w:t>
      </w:r>
    </w:p>
    <w:p>
      <w:pPr>
        <w:numPr>
          <w:ilvl w:val="0"/>
          <w:numId w:val="1003"/>
        </w:numPr>
        <w:pStyle w:val="Compact"/>
      </w:pPr>
      <w:r>
        <w:rPr>
          <w:bCs/>
          <w:b/>
        </w:rPr>
        <w:t xml:space="preserve">Focus on Sustainability:</w:t>
      </w:r>
      <w:r>
        <w:t xml:space="preserve"> </w:t>
      </w:r>
      <w:r>
        <w:t xml:space="preserve">Incorporate sustainability and environmental education more prominently, aligning with Germany's strong national focus on ecological responsibility.</w:t>
      </w:r>
    </w:p>
    <w:p>
      <w:pPr>
        <w:numPr>
          <w:ilvl w:val="0"/>
          <w:numId w:val="1003"/>
        </w:numPr>
        <w:pStyle w:val="Compact"/>
      </w:pPr>
      <w:r>
        <w:rPr>
          <w:bCs/>
          <w:b/>
        </w:rPr>
        <w:t xml:space="preserve">Professional Development:</w:t>
      </w:r>
      <w:r>
        <w:t xml:space="preserve"> </w:t>
      </w:r>
      <w:r>
        <w:t xml:space="preserve">Pursue advanced training in instructional design technologies to stay at the forefront of educational innovation.</w:t>
      </w:r>
    </w:p>
    <w:bookmarkEnd w:id="26"/>
    <w:bookmarkStart w:id="27" w:name="conclusion"/>
    <w:p>
      <w:pPr>
        <w:pStyle w:val="Heading2"/>
      </w:pPr>
      <w:r>
        <w:t xml:space="preserve">7. Conclusion</w:t>
      </w:r>
    </w:p>
    <w:p>
      <w:pPr>
        <w:pStyle w:val="FirstParagraph"/>
      </w:pPr>
      <w:r>
        <w:t xml:space="preserve">In conclusion, this Peer Review Report affirms that the Curriculum Developer is performing at a high level, demonstrating a deep understanding of the educational requirements in Germany and the specific needs of the Frankfurt community. The subject's ability to balance regulatory compliance with pedagogical innovation is a significant asset to the organization. By addressing the identified areas for improvement, particularly in digital integration and industry collaboration, the Curriculum Developer will continue to drive educational excellence and contribute to the development of a skilled, future-ready workforce in Frankfurt.</w:t>
      </w:r>
    </w:p>
    <w:bookmarkEnd w:id="27"/>
    <w:p>
      <w:pPr>
        <w:pStyle w:val="BodyText"/>
      </w:pPr>
      <w:r>
        <w:rPr>
          <w:bCs/>
          <w:b/>
        </w:rPr>
        <w:t xml:space="preserve">Prepared by:</w:t>
      </w:r>
    </w:p>
    <w:p>
      <w:pPr>
        <w:pStyle w:val="BodyText"/>
      </w:pPr>
      <w:r>
        <w:t xml:space="preserve">__________________________</w:t>
      </w:r>
    </w:p>
    <w:p>
      <w:pPr>
        <w:pStyle w:val="BodyText"/>
      </w:pPr>
      <w:r>
        <w:t xml:space="preserve">Senior Educational Strategist</w:t>
      </w:r>
    </w:p>
    <w:p>
      <w:pPr>
        <w:pStyle w:val="BodyText"/>
      </w:pP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Frankfurt, Germany</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