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Evaluation of Curriculum Development Standards and Methodologies</w:t>
      </w:r>
    </w:p>
    <w:bookmarkEnd w:id="20"/>
    <w:p>
      <w:pPr>
        <w:pStyle w:val="BodyText"/>
      </w:pPr>
      <w:r>
        <w:rPr>
          <w:bCs/>
          <w:b/>
        </w:rPr>
        <w:t xml:space="preserve">Subject Role:</w:t>
      </w:r>
      <w:r>
        <w:t xml:space="preserve"> </w:t>
      </w:r>
      <w:r>
        <w:t xml:space="preserve">Curriculum Developer</w:t>
      </w:r>
    </w:p>
    <w:p>
      <w:pPr>
        <w:pStyle w:val="BodyText"/>
      </w:pPr>
      <w:r>
        <w:rPr>
          <w:bCs/>
          <w:b/>
        </w:rPr>
        <w:t xml:space="preserve">Location Context:</w:t>
      </w:r>
      <w:r>
        <w:t xml:space="preserve"> </w:t>
      </w:r>
      <w:r>
        <w:t xml:space="preserve">Russia, Moscow</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Academic Board</w:t>
      </w:r>
    </w:p>
    <w:p>
      <w:pPr>
        <w:pStyle w:val="BodyText"/>
      </w:pPr>
      <w:r>
        <w:rPr>
          <w:bCs/>
          <w:b/>
        </w:rPr>
        <w:t xml:space="preserve">Project Title:</w:t>
      </w:r>
      <w:r>
        <w:t xml:space="preserve"> </w:t>
      </w:r>
      <w:r>
        <w:t xml:space="preserve">Modernization of STEM Education Frameworks</w:t>
      </w:r>
    </w:p>
    <w:p>
      <w:pPr>
        <w:pStyle w:val="BodyText"/>
      </w:pPr>
      <w:r>
        <w:rPr>
          <w:bCs/>
          <w:b/>
        </w:rPr>
        <w:t xml:space="preserve">Review Type:</w:t>
      </w:r>
      <w:r>
        <w:t xml:space="preserve"> </w:t>
      </w:r>
      <w:r>
        <w:t xml:space="preserve">Comprehensive Quality Assurance</w:t>
      </w:r>
    </w:p>
    <w:bookmarkStart w:id="21" w:name="executive-summary"/>
    <w:p>
      <w:pPr>
        <w:pStyle w:val="Heading2"/>
      </w:pPr>
      <w:r>
        <w:t xml:space="preserve">1. Executive Summary</w:t>
      </w:r>
    </w:p>
    <w:p>
      <w:pPr>
        <w:pStyle w:val="FirstParagraph"/>
      </w:pPr>
      <w:r>
        <w:t xml:space="preserve">This Peer Review Report serves as a formal evaluation of the work produced by the designated Curriculum Developer regarding the recent educational initiatives launched within the Moscow metropolitan region. The primary objective of this review is to assess the alignment of the developed curricula with the Federal State Educational Standards (FGOS) of the Russian Federation, while simultaneously evaluating the integration of modern pedagogical strategies suitable for the dynamic educational landscape of Moscow.</w:t>
      </w:r>
    </w:p>
    <w:p>
      <w:pPr>
        <w:pStyle w:val="BodyText"/>
      </w:pPr>
      <w:r>
        <w:t xml:space="preserve">The review panel has examined the structural integrity, content accuracy, cultural relevance, and technological integration of the proposed learning modules. The findings indicate a high level of professional competence, though specific areas regarding localization and digital accessibility require further refinement to fully meet the expectations of stakeholders in Russia, Moscow.</w:t>
      </w:r>
    </w:p>
    <w:bookmarkEnd w:id="21"/>
    <w:bookmarkStart w:id="22" w:name="contextual-alignment-russia-and-moscow"/>
    <w:p>
      <w:pPr>
        <w:pStyle w:val="Heading2"/>
      </w:pPr>
      <w:r>
        <w:t xml:space="preserve">2. Contextual Alignment: Russia and Moscow</w:t>
      </w:r>
    </w:p>
    <w:p>
      <w:pPr>
        <w:pStyle w:val="FirstParagraph"/>
      </w:pPr>
      <w:r>
        <w:t xml:space="preserve">A critical component of this Peer Review Report is the assessment of how well the Curriculum Developer has adapted materials to the specific socio-cultural and regulatory environment of Russia. The Moscow educational sector is characterized by a demand for excellence, innovation, and strict adherence to national standards.</w:t>
      </w:r>
    </w:p>
    <w:p>
      <w:pPr>
        <w:pStyle w:val="BodyText"/>
      </w:pPr>
      <w:r>
        <w:t xml:space="preserve">The Curriculum Developer has demonstrated a strong understanding of the legal framework governing education in Russia. The content successfully navigates the requirements of the Ministry of Education and Science of the Russian Federation. Furthermore, the materials reflect the cosmopolitan nature of Moscow, incorporating diverse perspectives that resonate with students in one of the world's major global cities. The inclusion of local case studies, references to Moscow-based scientific institutions, and alignment with the city's strategic development goals for education are notable strengths.</w:t>
      </w:r>
    </w:p>
    <w:bookmarkEnd w:id="22"/>
    <w:bookmarkStart w:id="23" w:name="methodological-evaluation"/>
    <w:p>
      <w:pPr>
        <w:pStyle w:val="Heading2"/>
      </w:pPr>
      <w:r>
        <w:t xml:space="preserve">3. Methodological Evaluation</w:t>
      </w:r>
    </w:p>
    <w:p>
      <w:pPr>
        <w:pStyle w:val="FirstParagraph"/>
      </w:pPr>
      <w:r>
        <w:t xml:space="preserve">The methodology employed by the Curriculum Developer was rigorous and systematic. The review panel observed a clear progression from needs analysis to content creation and assessment design. The use of backward design principles ensured that learning objectives were clearly defined before instructional materials were developed.</w:t>
      </w:r>
    </w:p>
    <w:p>
      <w:pPr>
        <w:pStyle w:val="BodyText"/>
      </w:pPr>
      <w:r>
        <w:t xml:space="preserve">However, the report notes that while the theoretical framework is sound, the practical application in large-class settings typical of Moscow public schools needs more detailed scaffolding. The Curriculum Developer should consider providing more granular lesson plans that account for varying levels of student preparedness across different districts of the city.</w:t>
      </w:r>
    </w:p>
    <w:bookmarkEnd w:id="23"/>
    <w:bookmarkStart w:id="24" w:name="content-quality-and-accuracy"/>
    <w:p>
      <w:pPr>
        <w:pStyle w:val="Heading2"/>
      </w:pPr>
      <w:r>
        <w:t xml:space="preserve">4. Content Quality and Accuracy</w:t>
      </w:r>
    </w:p>
    <w:p>
      <w:pPr>
        <w:pStyle w:val="FirstParagraph"/>
      </w:pPr>
      <w:r>
        <w:t xml:space="preserve">The subject matter expertise displayed in the curriculum is exceptional. The information is current, factually accurate, and presented in a manner that is accessible to the target demographic. The language used is appropriate for the academic level, maintaining a formal yet engaging tone suitable for the Russian educational context.</w:t>
      </w:r>
    </w:p>
    <w:p>
      <w:pPr>
        <w:pStyle w:val="BodyText"/>
      </w:pPr>
      <w:r>
        <w:t xml:space="preserve">Special attention was paid to the integration of digital literacy and STEM (Science, Technology, Engineering, and Mathematics) components, which are priorities for the Russian government. The Curriculum Developer has successfully embedded coding exercises and data analysis tasks that utilize platforms accessible within Russia, ensuring continuity of learning without reliance on restricted international services.</w:t>
      </w:r>
    </w:p>
    <w:bookmarkEnd w:id="24"/>
    <w:bookmarkStart w:id="25" w:name="assessment-and-feedback-mechanisms"/>
    <w:p>
      <w:pPr>
        <w:pStyle w:val="Heading2"/>
      </w:pPr>
      <w:r>
        <w:t xml:space="preserve">5. Assessment and Feedback Mechanisms</w:t>
      </w:r>
    </w:p>
    <w:p>
      <w:pPr>
        <w:pStyle w:val="FirstParagraph"/>
      </w:pPr>
      <w:r>
        <w:t xml:space="preserve">The assessment strategies outlined in the curriculum are varied and comprehensive. They include formative assessments, summative exams, and project-based evaluations. This aligns well with the modern shift in Russian education towards competency-based learning rather than rote memorization.</w:t>
      </w:r>
    </w:p>
    <w:p>
      <w:pPr>
        <w:pStyle w:val="BodyText"/>
      </w:pPr>
      <w:r>
        <w:t xml:space="preserve">The Peer Review Report recommends enhancing the rubrics for project-based assessments to ensure consistency in grading across different schools in Moscow. Clear, standardized criteria will help mitigate subjectivity and ensure fairness for all students.</w:t>
      </w:r>
    </w:p>
    <w:bookmarkEnd w:id="25"/>
    <w:bookmarkStart w:id="26" w:name="areas-for-improvement"/>
    <w:p>
      <w:pPr>
        <w:pStyle w:val="Heading2"/>
      </w:pPr>
      <w:r>
        <w:t xml:space="preserve">6. Areas for Improvement</w:t>
      </w:r>
    </w:p>
    <w:p>
      <w:pPr>
        <w:pStyle w:val="FirstParagraph"/>
      </w:pPr>
      <w:r>
        <w:t xml:space="preserve">While the overall quality is high, the following areas require attention:</w:t>
      </w:r>
    </w:p>
    <w:p>
      <w:pPr>
        <w:numPr>
          <w:ilvl w:val="0"/>
          <w:numId w:val="1001"/>
        </w:numPr>
        <w:pStyle w:val="Compact"/>
      </w:pPr>
      <w:r>
        <w:rPr>
          <w:bCs/>
          <w:b/>
        </w:rPr>
        <w:t xml:space="preserve">Digital Accessibility:</w:t>
      </w:r>
      <w:r>
        <w:t xml:space="preserve"> </w:t>
      </w:r>
      <w:r>
        <w:t xml:space="preserve">Ensure all digital resources are compatible with the "Electronic School" (ES) platform widely used in Moscow.</w:t>
      </w:r>
    </w:p>
    <w:p>
      <w:pPr>
        <w:numPr>
          <w:ilvl w:val="0"/>
          <w:numId w:val="1001"/>
        </w:numPr>
        <w:pStyle w:val="Compact"/>
      </w:pPr>
      <w:r>
        <w:rPr>
          <w:bCs/>
          <w:b/>
        </w:rPr>
        <w:t xml:space="preserve">Teacher Support:</w:t>
      </w:r>
      <w:r>
        <w:t xml:space="preserve"> </w:t>
      </w:r>
      <w:r>
        <w:t xml:space="preserve">Provide more extensive professional development materials for teachers who will implement this curriculum, focusing on the transition to new methodologies.</w:t>
      </w:r>
    </w:p>
    <w:p>
      <w:pPr>
        <w:numPr>
          <w:ilvl w:val="0"/>
          <w:numId w:val="1001"/>
        </w:numPr>
        <w:pStyle w:val="Compact"/>
      </w:pPr>
      <w:r>
        <w:rPr>
          <w:bCs/>
          <w:b/>
        </w:rPr>
        <w:t xml:space="preserve">Cultural Nuance:</w:t>
      </w:r>
      <w:r>
        <w:t xml:space="preserve"> </w:t>
      </w:r>
      <w:r>
        <w:t xml:space="preserve">Further refine examples to ensure they are inclusive of the multi-ethnic population of Moscow while maintaining national unity themes.</w:t>
      </w:r>
    </w:p>
    <w:bookmarkEnd w:id="26"/>
    <w:bookmarkStart w:id="27" w:name="final-rating-and-conclusion"/>
    <w:p>
      <w:pPr>
        <w:pStyle w:val="Heading2"/>
      </w:pPr>
      <w:r>
        <w:t xml:space="preserve">7. Final Rating and Conclusion</w:t>
      </w:r>
    </w:p>
    <w:p>
      <w:pPr>
        <w:pStyle w:val="FirstParagraph"/>
      </w:pPr>
      <w:r>
        <w:t xml:space="preserve">Alignment with FGOS Standards</w:t>
      </w:r>
      <w:r>
        <w:t xml:space="preserve"> </w:t>
      </w:r>
      <w:r>
        <w:t xml:space="preserve">9.5 / 10</w:t>
      </w:r>
    </w:p>
    <w:p>
      <w:pPr>
        <w:pStyle w:val="BodyText"/>
      </w:pPr>
      <w:r>
        <w:t xml:space="preserve">Pedagogical Soundness</w:t>
      </w:r>
      <w:r>
        <w:t xml:space="preserve"> </w:t>
      </w:r>
      <w:r>
        <w:t xml:space="preserve">9.0 / 10</w:t>
      </w:r>
    </w:p>
    <w:p>
      <w:pPr>
        <w:pStyle w:val="BodyText"/>
      </w:pPr>
      <w:r>
        <w:t xml:space="preserve">Local Relevance (Moscow Context)</w:t>
      </w:r>
      <w:r>
        <w:t xml:space="preserve"> </w:t>
      </w:r>
      <w:r>
        <w:t xml:space="preserve">8.5 / 10</w:t>
      </w:r>
    </w:p>
    <w:p>
      <w:pPr>
        <w:pStyle w:val="BodyText"/>
      </w:pPr>
      <w:r>
        <w:t xml:space="preserve">Innovation and Modernization</w:t>
      </w:r>
      <w:r>
        <w:t xml:space="preserve"> </w:t>
      </w:r>
      <w:r>
        <w:t xml:space="preserve">9.2 / 10</w:t>
      </w:r>
    </w:p>
    <w:p>
      <w:pPr>
        <w:pStyle w:val="BodyText"/>
      </w:pPr>
      <w:r>
        <w:t xml:space="preserve">Overall Recommendation</w:t>
      </w:r>
      <w:r>
        <w:t xml:space="preserve"> </w:t>
      </w:r>
      <w:r>
        <w:t xml:space="preserve">Approved with Minor Revisions</w:t>
      </w:r>
    </w:p>
    <w:p>
      <w:pPr>
        <w:pStyle w:val="BodyText"/>
      </w:pPr>
      <w:r>
        <w:t xml:space="preserve">In conclusion, this Peer Review Report affirms that the Curriculum Developer has produced a high-quality, relevant, and compliant educational framework. The work represents a significant contribution to the advancement of education in Russia, Moscow. With the suggested revisions implemented, this curriculum is poised to enhance student outcomes and support the strategic educational goals of the region.</w:t>
      </w:r>
    </w:p>
    <w:p>
      <w:pPr>
        <w:pStyle w:val="BodyText"/>
      </w:pPr>
      <w:r>
        <w:t xml:space="preserve">© 2023 Academic Review Board. All rights reserved. This document is confidential and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2026-10-10T04:40:26Z</dcterms:created>
  <dcterms:modified xsi:type="dcterms:W3CDTF">2026-10-10T04:40:26Z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