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Uzbekistan</w:t>
      </w:r>
      <w:r>
        <w:t xml:space="preserve"> </w:t>
      </w:r>
      <w:r>
        <w:t xml:space="preserve">Tashkent</w:t>
      </w:r>
    </w:p>
    <w:bookmarkStart w:id="26" w:name="peer-review-report"/>
    <w:p>
      <w:pPr>
        <w:pStyle w:val="Heading1"/>
      </w:pPr>
      <w:r>
        <w:t xml:space="preserve">Peer Review Report</w:t>
      </w:r>
    </w:p>
    <w:p>
      <w:pPr>
        <w:pStyle w:val="FirstParagraph"/>
      </w:pPr>
      <w:r>
        <w:rPr>
          <w:bCs/>
          <w:b/>
        </w:rPr>
        <w:t xml:space="preserve">Subject:</w:t>
      </w:r>
      <w:r>
        <w:t xml:space="preserve"> </w:t>
      </w:r>
      <w:r>
        <w:t xml:space="preserve">Performance Evaluation of Customs Officer</w:t>
      </w:r>
      <w:r>
        <w:br/>
      </w:r>
      <w:r>
        <w:rPr>
          <w:bCs/>
          <w:b/>
        </w:rPr>
        <w:t xml:space="preserve">Location:</w:t>
      </w:r>
      <w:r>
        <w:t xml:space="preserve"> </w:t>
      </w:r>
      <w:r>
        <w:t xml:space="preserve">Uzbekistan Tashkent Customs Territory</w:t>
      </w:r>
      <w:r>
        <w:br/>
      </w: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r>
        <w:br/>
      </w:r>
      <w:r>
        <w:rPr>
          <w:bCs/>
          <w:b/>
        </w:rPr>
        <w:t xml:space="preserve">Reviewer ID:</w:t>
      </w:r>
      <w:r>
        <w:t xml:space="preserve"> </w:t>
      </w:r>
      <w:r>
        <w:t xml:space="preserve">SR-8842</w:t>
      </w:r>
      <w:r>
        <w:br/>
      </w:r>
      <w:r>
        <w:rPr>
          <w:bCs/>
          <w:b/>
        </w:rPr>
        <w:t xml:space="preserve">Department:</w:t>
      </w:r>
      <w:r>
        <w:t xml:space="preserve"> </w:t>
      </w:r>
      <w:r>
        <w:t xml:space="preserve">Border Control &amp; Compliance</w:t>
      </w:r>
    </w:p>
    <w:bookmarkStart w:id="20" w:name="executive-summary"/>
    <w:p>
      <w:pPr>
        <w:pStyle w:val="Heading2"/>
      </w:pPr>
      <w:r>
        <w:t xml:space="preserve">1. Executive Summary</w:t>
      </w:r>
    </w:p>
    <w:p>
      <w:pPr>
        <w:pStyle w:val="FirstParagraph"/>
      </w:pPr>
      <w:r>
        <w:t xml:space="preserve">This Peer Review Report serves as a formal assessment of the operational performance, technical competency, and professional conduct of a Customs Officer stationed within the Uzbekistan Tashkent jurisdiction. The primary objective of this review is to evaluate the officer's adherence to the State Customs Committee of Uzbekistan regulations, their efficiency in processing cargo at the Tashkent International Airport and adjacent land borders, and their ability to mitigate risks associated with cross-border trade. The review highlights the officer's significant contributions to streamlining customs clearance procedures while identifying areas for professional development regarding digital customs systems.</w:t>
      </w:r>
    </w:p>
    <w:bookmarkEnd w:id="20"/>
    <w:bookmarkStart w:id="21" w:name="Xda949a91671ae3e4ea622c1a3ce9ce805d6e924"/>
    <w:p>
      <w:pPr>
        <w:pStyle w:val="Heading2"/>
      </w:pPr>
      <w:r>
        <w:t xml:space="preserve">2. Operational Competency and Technical Skills</w:t>
      </w:r>
    </w:p>
    <w:p>
      <w:pPr>
        <w:pStyle w:val="FirstParagraph"/>
      </w:pPr>
      <w:r>
        <w:t xml:space="preserve">The Customs Officer under review has demonstrated a robust understanding of the customs legislation governing Uzbekistan Tashkent. In the context of the rapidly growing logistics hub in Tashkent, the officer has shown proficiency in classifying goods according to the Harmonized System (HS) codes. This technical accuracy is crucial for determining the correct tariff rates and ensuring that the state revenue is collected accurately.</w:t>
      </w:r>
    </w:p>
    <w:p>
      <w:pPr>
        <w:pStyle w:val="BodyText"/>
      </w:pPr>
      <w:r>
        <w:t xml:space="preserve">Furthermore, the officer has exhibited strong skills in utilizing the "E-Customs" system, which is pivotal for the modernization of trade in Uzbekistan. The ability to process electronic declarations efficiently has reduced the dwell time of goods at the Tashkent checkpoints. The officer's technical skill set extends to the interpretation of complex trade agreements, ensuring that imports and exports comply with both national laws and international obligations.</w:t>
      </w:r>
    </w:p>
    <w:bookmarkEnd w:id="21"/>
    <w:bookmarkStart w:id="22" w:name="risk-management-and-compliance"/>
    <w:p>
      <w:pPr>
        <w:pStyle w:val="Heading2"/>
      </w:pPr>
      <w:r>
        <w:t xml:space="preserve">3. Risk Management and Compliance</w:t>
      </w:r>
    </w:p>
    <w:p>
      <w:pPr>
        <w:pStyle w:val="FirstParagraph"/>
      </w:pPr>
      <w:r>
        <w:t xml:space="preserve">A critical aspect of the role of a Customs Officer in Uzbekistan Tashkent is the identification of high-risk cargo. During the review period, the subject officer successfully identified several discrepancies in declared values and quantities. This vigilance is essential for preventing smuggling and ensuring fair trade practices. The officer's approach to risk management aligns with the World Customs Organization (WCO) standards, which Uzbekistan is increasingly adopting to enhance its global trade reputation.</w:t>
      </w:r>
    </w:p>
    <w:p>
      <w:pPr>
        <w:pStyle w:val="BodyText"/>
      </w:pPr>
      <w:r>
        <w:t xml:space="preserve">The officer has maintained a high standard of integrity, a non-negotiable requirement for customs personnel. In the dynamic environment of Tashkent, where trade volumes are high, the temptation for corruption can be significant. However, this peer review confirms that the officer has consistently adhered to the ethical code of conduct, refusing improper incentives and maintaining transparency in all interactions with traders and logistics providers.</w:t>
      </w:r>
    </w:p>
    <w:bookmarkEnd w:id="22"/>
    <w:bookmarkStart w:id="23" w:name="communication-and-stakeholder-engagement"/>
    <w:p>
      <w:pPr>
        <w:pStyle w:val="Heading2"/>
      </w:pPr>
      <w:r>
        <w:t xml:space="preserve">4. Communication and Stakeholder Engagement</w:t>
      </w:r>
    </w:p>
    <w:p>
      <w:pPr>
        <w:pStyle w:val="FirstParagraph"/>
      </w:pPr>
      <w:r>
        <w:t xml:space="preserve">Effective communication is vital for a Customs Officer operating in a multicultural hub like Uzbekistan Tashkent. The officer has demonstrated excellent interpersonal skills when dealing with foreign traders, local transporters, and internal colleagues. The ability to communicate clearly in both Uzbek and English has been particularly beneficial in facilitating smooth operations at the border.</w:t>
      </w:r>
    </w:p>
    <w:p>
      <w:pPr>
        <w:pStyle w:val="BodyText"/>
      </w:pPr>
      <w:r>
        <w:t xml:space="preserve">The officer has also shown a collaborative spirit when working with other government agencies, such as the State Tax Committee and the State Committee for Standardization. This inter-agency cooperation is essential for the holistic regulation of trade in Uzbekistan. The officer's ability to explain customs requirements to traders in a clear and concise manner has helped reduce the number of procedural errors in customs declarations.</w:t>
      </w:r>
    </w:p>
    <w:bookmarkEnd w:id="23"/>
    <w:bookmarkStart w:id="24" w:name="areas-for-improvement"/>
    <w:p>
      <w:pPr>
        <w:pStyle w:val="Heading2"/>
      </w:pPr>
      <w:r>
        <w:t xml:space="preserve">5. Areas for Improvement</w:t>
      </w:r>
    </w:p>
    <w:p>
      <w:pPr>
        <w:pStyle w:val="FirstParagraph"/>
      </w:pPr>
      <w:r>
        <w:t xml:space="preserve">While the overall performance is commendable, this Peer Review Report identifies specific areas where the Customs Officer can enhance their effectiveness. First, there is a need for further training on the latest updates to the customs tariff nomenclature, which changes frequently to align with international standards. Second, the officer should focus on improving their data analysis skills to better utilize the predictive analytics tools available within the Uzbekistan customs IT infrastructure.</w:t>
      </w:r>
    </w:p>
    <w:p>
      <w:pPr>
        <w:pStyle w:val="BodyText"/>
      </w:pPr>
      <w:r>
        <w:t xml:space="preserve">Additionally, while the officer's English proficiency is good, advanced technical English training would be beneficial for handling complex international trade documentation and communicating with foreign customs authorities. This will further support the strategic goal of Uzbekistan Tashkent as a central logistics hub in Central Asia.</w:t>
      </w:r>
    </w:p>
    <w:bookmarkEnd w:id="24"/>
    <w:bookmarkStart w:id="25" w:name="conclusion-and-recommendations"/>
    <w:p>
      <w:pPr>
        <w:pStyle w:val="Heading2"/>
      </w:pPr>
      <w:r>
        <w:t xml:space="preserve">6. Conclusion and Recommendations</w:t>
      </w:r>
    </w:p>
    <w:p>
      <w:pPr>
        <w:pStyle w:val="FirstParagraph"/>
      </w:pPr>
      <w:r>
        <w:t xml:space="preserve">In conclusion, the Customs Officer evaluated in this Peer Review Report has performed their duties with a high degree of professionalism, integrity, and technical competence. Their contributions have positively impacted the efficiency of customs operations in Uzbekistan Tashkent. The officer's dedication to compliance and risk management aligns well with the strategic objectives of the State Customs Committee.</w:t>
      </w:r>
    </w:p>
    <w:p>
      <w:pPr>
        <w:pStyle w:val="BodyText"/>
      </w:pPr>
      <w:r>
        <w:t xml:space="preserve">It is recommended that the officer be recognized for their performance and provided with opportunities for advanced training in digital customs technologies and international trade law. Continued support and mentorship will ensure that the officer remains a valuable asset to the customs service in Uzbekistan Tashkent, contributing to the country's economic growth and trade facilitation efforts.</w:t>
      </w:r>
    </w:p>
    <w:p>
      <w:pPr>
        <w:pStyle w:val="BodyText"/>
      </w:pPr>
      <w:r>
        <w:rPr>
          <w:bCs/>
          <w:b/>
        </w:rPr>
        <w:t xml:space="preserve">Reviewed By:</w:t>
      </w:r>
      <w:r>
        <w:br/>
      </w:r>
      <w:r>
        <w:t xml:space="preserve">Senior Customs Inspector</w:t>
      </w:r>
      <w:r>
        <w:br/>
      </w:r>
      <w:r>
        <w:t xml:space="preserve">Uzbekistan Tashkent Customs</w:t>
      </w:r>
    </w:p>
    <w:p>
      <w:pPr>
        <w:pStyle w:val="BodyText"/>
      </w:pPr>
      <w:r>
        <w:rPr>
          <w:bCs/>
          <w:b/>
        </w:rPr>
        <w:t xml:space="preserve">Subject Officer:</w:t>
      </w:r>
      <w:r>
        <w:br/>
      </w:r>
      <w:r>
        <w:t xml:space="preserve">Customs Officer</w:t>
      </w:r>
      <w:r>
        <w:br/>
      </w:r>
      <w:r>
        <w:t xml:space="preserve">Uzbekistan Tashkent Customs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Uzbekistan Tashkent</dc:title>
  <dc:creator/>
  <dc:language>en</dc:language>
  <cp:keywords/>
  <dcterms:created xsi:type="dcterms:W3CDTF">2026-10-10T03:48:48Z</dcterms:created>
  <dcterms:modified xsi:type="dcterms:W3CDTF">2026-10-10T03:48:48Z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