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p>
    <w:bookmarkStart w:id="27"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w:t>
      </w:r>
      <w:r>
        <w:t xml:space="preserve"> </w:t>
      </w:r>
      <w:r>
        <w:t xml:space="preserve">United Kingdom London</w:t>
      </w:r>
    </w:p>
    <w:p>
      <w:pPr>
        <w:pStyle w:val="BodyText"/>
      </w:pPr>
      <w:r>
        <w:rPr>
          <w:bCs/>
          <w:b/>
        </w:rPr>
        <w:t xml:space="preserve">Review Period:</w:t>
      </w:r>
      <w:r>
        <w:t xml:space="preserve"> </w:t>
      </w:r>
      <w:r>
        <w:t xml:space="preserve">Q3 2023 - Q3 2024</w:t>
      </w:r>
    </w:p>
    <w:p>
      <w:pPr>
        <w:pStyle w:val="BodyText"/>
      </w:pPr>
      <w:r>
        <w:rPr>
          <w:bCs/>
          <w:b/>
        </w:rPr>
        <w:t xml:space="preserve">Date of Report:</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collaborative contributions of the Data Scientist role within our London-based operations. As the United Kingdom London market continues to be a global epicentre for fintech, healthcare analytics, and artificial intelligence, the expectations for data professionals are exceptionally high. This review assesses how effectively the subject has navigated the complexities of the local regulatory environment, specifically regarding the UK General Data Protection Regulation (UK GDPR), while delivering high-impact predictive models and data-driven insights.</w:t>
      </w:r>
    </w:p>
    <w:p>
      <w:pPr>
        <w:pStyle w:val="BodyText"/>
      </w:pPr>
      <w:r>
        <w:t xml:space="preserve">Overall, the review indicates a strong alignment with the strategic objectives of the organisation. The Data Scientist has demonstrated not only technical excellence in machine learning and statistical analysis but also a keen understanding of the business context specific to the London financial and commercial sectors.</w:t>
      </w:r>
    </w:p>
    <w:bookmarkEnd w:id="20"/>
    <w:bookmarkStart w:id="21" w:name="technical-proficiency-and-methodology"/>
    <w:p>
      <w:pPr>
        <w:pStyle w:val="Heading2"/>
      </w:pPr>
      <w:r>
        <w:t xml:space="preserve">2. Technical Proficiency and Methodology</w:t>
      </w:r>
    </w:p>
    <w:p>
      <w:pPr>
        <w:pStyle w:val="FirstParagraph"/>
      </w:pPr>
      <w:r>
        <w:t xml:space="preserve">The core competency of a Data Scientist lies in their ability to extract value from complex datasets. During this review period, the subject exhibited a robust command of the modern data stack. Their proficiency in Python and SQL was evident in the development of scalable data pipelines that significantly reduced latency in our reporting dashboards.</w:t>
      </w:r>
    </w:p>
    <w:p>
      <w:pPr>
        <w:pStyle w:val="BodyText"/>
      </w:pPr>
      <w:r>
        <w:t xml:space="preserve">Furthermore, the application of advanced machine learning algorithms was particularly noteworthy. The subject successfully deployed a natural language processing (NLP) model to analyse customer sentiment across our UK market channels. This initiative required a nuanced understanding of British English dialects and cultural context, which the Data Scientist handled with precision. The model's accuracy exceeded the initial KPIs by 15%, demonstrating a rigorous approach to feature engineering and model validation.</w:t>
      </w:r>
    </w:p>
    <w:p>
      <w:pPr>
        <w:pStyle w:val="BodyText"/>
      </w:pPr>
      <w:r>
        <w:t xml:space="preserve">In terms of data visualisation, the subject utilised tools such as Tableau and Power BI to create intuitive dashboards for stakeholders. These visualisations were critical in translating abstract statistical findings into actionable business intelligence for senior leadership in our London headquarters.</w:t>
      </w:r>
    </w:p>
    <w:bookmarkEnd w:id="21"/>
    <w:bookmarkStart w:id="22" w:name="regulatory-compliance-and-data-ethics"/>
    <w:p>
      <w:pPr>
        <w:pStyle w:val="Heading2"/>
      </w:pPr>
      <w:r>
        <w:t xml:space="preserve">3. Regulatory Compliance and Data Ethics</w:t>
      </w:r>
    </w:p>
    <w:p>
      <w:pPr>
        <w:pStyle w:val="FirstParagraph"/>
      </w:pPr>
      <w:r>
        <w:t xml:space="preserve">Operating in United Kingdom London necessitates strict adherence to data privacy laws. A significant portion of this Peer Review Report focuses on the subject's handling of data governance. The Data Scientist demonstrated a commendable awareness of the UK GDPR and the Data Protection Act 2018.</w:t>
      </w:r>
    </w:p>
    <w:p>
      <w:pPr>
        <w:pStyle w:val="BodyText"/>
      </w:pPr>
      <w:r>
        <w:t xml:space="preserve">Specifically, the subject implemented robust anonymisation techniques for sensitive user data prior to model training. They actively collaborated with the legal and compliance teams to ensure that all data collection practices met the stringent standards required by the Information Commissioner’s Office (ICO). This proactive approach mitigated potential legal risks and reinforced the organisation's reputation for ethical data usage in the competitive London market.</w:t>
      </w:r>
    </w:p>
    <w:bookmarkEnd w:id="22"/>
    <w:bookmarkStart w:id="23" w:name="collaboration-and-communication"/>
    <w:p>
      <w:pPr>
        <w:pStyle w:val="Heading2"/>
      </w:pPr>
      <w:r>
        <w:t xml:space="preserve">4. Collaboration and Communication</w:t>
      </w:r>
    </w:p>
    <w:p>
      <w:pPr>
        <w:pStyle w:val="FirstParagraph"/>
      </w:pPr>
      <w:r>
        <w:t xml:space="preserve">A Data Scientist does not operate in a vacuum. The ability to communicate complex technical concepts to non-technical stakeholders is vital. Throughout the review period, the subject engaged effectively with cross-functional teams, including product managers, software engineers, and marketing strategists.</w:t>
      </w:r>
    </w:p>
    <w:p>
      <w:pPr>
        <w:pStyle w:val="BodyText"/>
      </w:pPr>
      <w:r>
        <w:t xml:space="preserve">The subject regularly participated in agile ceremonies, providing clear updates on project timelines and technical hurdles. Their ability to articulate the limitations and assumptions of their models prevented over-reliance on data outputs and fostered a culture of data literacy within the wider team. This collaborative spirit is essential for maintaining the high pace of innovation expected in the United Kingdom London technology ecosystem.</w:t>
      </w:r>
    </w:p>
    <w:bookmarkEnd w:id="23"/>
    <w:bookmarkStart w:id="24" w:name="areas-for-development"/>
    <w:p>
      <w:pPr>
        <w:pStyle w:val="Heading2"/>
      </w:pPr>
      <w:r>
        <w:t xml:space="preserve">5. Areas for Development</w:t>
      </w:r>
    </w:p>
    <w:p>
      <w:pPr>
        <w:pStyle w:val="FirstParagraph"/>
      </w:pPr>
      <w:r>
        <w:t xml:space="preserve">While the performance has been exemplary, this Peer Review Report identifies specific areas for growth to ensure continued excellence:</w:t>
      </w:r>
    </w:p>
    <w:p>
      <w:pPr>
        <w:numPr>
          <w:ilvl w:val="0"/>
          <w:numId w:val="1001"/>
        </w:numPr>
        <w:pStyle w:val="Compact"/>
      </w:pPr>
      <w:r>
        <w:rPr>
          <w:bCs/>
          <w:b/>
        </w:rPr>
        <w:t xml:space="preserve">Cloud Architecture:</w:t>
      </w:r>
      <w:r>
        <w:t xml:space="preserve"> </w:t>
      </w:r>
      <w:r>
        <w:t xml:space="preserve">While proficient in local development, the subject should deepen their expertise in cloud-native data architectures (e.g., AWS or Azure) to better leverage scalable computing resources available in the UK cloud market.</w:t>
      </w:r>
    </w:p>
    <w:p>
      <w:pPr>
        <w:numPr>
          <w:ilvl w:val="0"/>
          <w:numId w:val="1001"/>
        </w:numPr>
        <w:pStyle w:val="Compact"/>
      </w:pPr>
      <w:r>
        <w:rPr>
          <w:bCs/>
          <w:b/>
        </w:rPr>
        <w:t xml:space="preserve">MLOps:</w:t>
      </w:r>
      <w:r>
        <w:t xml:space="preserve"> </w:t>
      </w:r>
      <w:r>
        <w:t xml:space="preserve">There is an opportunity to improve the automation of model deployment and monitoring. Implementing more robust MLOps practices will ensure that models remain performant in production environments over time.</w:t>
      </w:r>
    </w:p>
    <w:p>
      <w:pPr>
        <w:numPr>
          <w:ilvl w:val="0"/>
          <w:numId w:val="1001"/>
        </w:numPr>
        <w:pStyle w:val="Compact"/>
      </w:pPr>
      <w:r>
        <w:rPr>
          <w:bCs/>
          <w:b/>
        </w:rPr>
        <w:t xml:space="preserve">Strategic Influence:</w:t>
      </w:r>
      <w:r>
        <w:t xml:space="preserve"> </w:t>
      </w:r>
      <w:r>
        <w:t xml:space="preserve">The subject is encouraged to take a more proactive role in shaping the long-term data strategy of the organisation, moving beyond execution to high-level architectural planning.</w:t>
      </w:r>
    </w:p>
    <w:bookmarkEnd w:id="24"/>
    <w:bookmarkStart w:id="26" w:name="conclusion-and-rating"/>
    <w:p>
      <w:pPr>
        <w:pStyle w:val="Heading2"/>
      </w:pPr>
      <w:r>
        <w:t xml:space="preserve">6. Conclusion and Rating</w:t>
      </w:r>
    </w:p>
    <w:p>
      <w:pPr>
        <w:pStyle w:val="FirstParagraph"/>
      </w:pPr>
      <w:r>
        <w:rPr>
          <w:bCs/>
          <w:b/>
        </w:rPr>
        <w:t xml:space="preserve">Overall Performance Rating: Exceeds Expectations</w:t>
      </w:r>
    </w:p>
    <w:p>
      <w:pPr>
        <w:pStyle w:val="BodyText"/>
      </w:pPr>
      <w:r>
        <w:t xml:space="preserve">The Data Scientist has proven to be an invaluable asset to the team. Their technical skills, combined with a strong ethical framework and collaborative attitude, make them well-suited for the demands of the United Kingdom London market. We anticipate continued growth and contribution in the coming year.</w:t>
      </w:r>
    </w:p>
    <w:bookmarkStart w:id="25" w:name="signatures"/>
    <w:p>
      <w:pPr>
        <w:pStyle w:val="Heading3"/>
      </w:pPr>
      <w:r>
        <w:t xml:space="preserve">Signatures</w:t>
      </w:r>
    </w:p>
    <w:p>
      <w:pPr>
        <w:pStyle w:val="FirstParagraph"/>
      </w:pPr>
      <w:r>
        <w:t xml:space="preserve">By signing below, the reviewer confirms that this Peer Review Report has been discussed with the subject and that the feedback provided is constructive and factual.</w:t>
      </w:r>
    </w:p>
    <w:p>
      <w:pPr>
        <w:pStyle w:val="BodyText"/>
      </w:pPr>
      <w:r>
        <w:t xml:space="preserve">Reviewer Signature</w:t>
      </w:r>
    </w:p>
    <w:p>
      <w:pPr>
        <w:pStyle w:val="BodyText"/>
      </w:pPr>
      <w:r>
        <w:rPr>
          <w:bCs/>
          <w:b/>
        </w:rPr>
        <w:t xml:space="preserve">Senior Data Lead</w:t>
      </w:r>
      <w:r>
        <w:br/>
      </w:r>
      <w:r>
        <w:t xml:space="preserve">London Office</w:t>
      </w:r>
    </w:p>
    <w:p>
      <w:pPr>
        <w:pStyle w:val="BodyText"/>
      </w:pPr>
      <w:r>
        <w:t xml:space="preserve">Data Scientist Signature</w:t>
      </w:r>
    </w:p>
    <w:p>
      <w:pPr>
        <w:pStyle w:val="BodyText"/>
      </w:pPr>
      <w:r>
        <w:rPr>
          <w:bCs/>
          <w:b/>
        </w:rPr>
        <w:t xml:space="preserve">Subject</w:t>
      </w:r>
      <w:r>
        <w:br/>
      </w:r>
      <w:r>
        <w:t xml:space="preserve">Data Science Team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dc:title>
  <dc:creator/>
  <dc:language>en</dc:language>
  <cp:keywords/>
  <dcterms:created xsi:type="dcterms:W3CDTF">2026-10-10T09:41:06Z</dcterms:created>
  <dcterms:modified xsi:type="dcterms:W3CDTF">2026-10-10T09:41:06Z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