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Comprehensive Clinical and Operational Assessment</w:t>
      </w:r>
    </w:p>
    <w:p>
      <w:pPr>
        <w:pStyle w:val="BodyText"/>
      </w:pPr>
      <w:r>
        <w:t xml:space="preserve">Review Date:</w:t>
      </w:r>
      <w:r>
        <w:t xml:space="preserve"> </w:t>
      </w:r>
      <w:r>
        <w:t xml:space="preserve">October 24, 2023</w:t>
      </w:r>
    </w:p>
    <w:p>
      <w:pPr>
        <w:pStyle w:val="BodyText"/>
      </w:pPr>
      <w:r>
        <w:t xml:space="preserve">Location:</w:t>
      </w:r>
      <w:r>
        <w:t xml:space="preserve"> </w:t>
      </w:r>
      <w:r>
        <w:t xml:space="preserve">Medellín, Colombia</w:t>
      </w:r>
    </w:p>
    <w:p>
      <w:pPr>
        <w:pStyle w:val="BodyText"/>
      </w:pPr>
      <w:r>
        <w:t xml:space="preserve">Report ID:</w:t>
      </w:r>
      <w:r>
        <w:t xml:space="preserve"> </w:t>
      </w:r>
      <w:r>
        <w:t xml:space="preserve">PR-MED-2023-089</w:t>
      </w:r>
    </w:p>
    <w:p>
      <w:pPr>
        <w:pStyle w:val="BodyText"/>
      </w:pPr>
      <w:r>
        <w:t xml:space="preserve">Reviewer:</w:t>
      </w:r>
      <w:r>
        <w:t xml:space="preserve"> </w:t>
      </w:r>
      <w:r>
        <w:t xml:space="preserve">Dr. A. Rodriguez, DDS, MS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 comprehensive evaluation conducted on a private dental practice located in the El Poblado district of</w:t>
      </w:r>
      <w:r>
        <w:t xml:space="preserve"> </w:t>
      </w:r>
      <w:r>
        <w:rPr>
          <w:bCs/>
          <w:b/>
        </w:rPr>
        <w:t xml:space="preserve">Colombia Medellín</w:t>
      </w:r>
      <w:r>
        <w:t xml:space="preserve">. The primary objective of this review was to assess the clinical competency, operational efficiency, and regulatory compliance of the lead</w:t>
      </w:r>
      <w:r>
        <w:t xml:space="preserve"> </w:t>
      </w:r>
      <w:r>
        <w:rPr>
          <w:bCs/>
          <w:b/>
        </w:rPr>
        <w:t xml:space="preserve">Dentist</w:t>
      </w:r>
      <w:r>
        <w:t xml:space="preserve"> </w:t>
      </w:r>
      <w:r>
        <w:t xml:space="preserve">and their supporting staff. As Medellín continues to emerge as a premier destination for dental tourism and high-quality domestic care, maintaining rigorous standards is essential.</w:t>
      </w:r>
    </w:p>
    <w:p>
      <w:pPr>
        <w:pStyle w:val="BodyText"/>
      </w:pPr>
      <w:r>
        <w:t xml:space="preserve">The review process involved a detailed analysis of patient records, direct observation of clinical procedures, an audit of sterilization protocols, and an assessment of patient communication strategies. The overall rating for the practice is</w:t>
      </w:r>
      <w:r>
        <w:t xml:space="preserve"> </w:t>
      </w:r>
      <w:r>
        <w:rPr>
          <w:bCs/>
          <w:b/>
        </w:rPr>
        <w:t xml:space="preserve">Excellent</w:t>
      </w:r>
      <w:r>
        <w:t xml:space="preserve">, with specific commendations for endodontic precision and digital integration. However, minor adjustments are recommended regarding bilingual documentation to better serve the international patient demographic common in Medellín.</w:t>
      </w:r>
    </w:p>
    <w:bookmarkEnd w:id="21"/>
    <w:bookmarkStart w:id="23" w:name="X9ca21b41d500b4729103c4d51a6ccaf42ba72ba"/>
    <w:p>
      <w:pPr>
        <w:pStyle w:val="Heading2"/>
      </w:pPr>
      <w:r>
        <w:t xml:space="preserve">2. Clinical Competency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skills demonstrated by the</w:t>
      </w:r>
      <w:r>
        <w:t xml:space="preserve"> </w:t>
      </w:r>
      <w:r>
        <w:rPr>
          <w:bCs/>
          <w:b/>
        </w:rPr>
        <w:t xml:space="preserve">Dentist</w:t>
      </w:r>
      <w:r>
        <w:t xml:space="preserve">. During the observation period, the practitioner displayed a high level of proficiency in restorative dentistry, specifically in complex composite layering and ceramic veneer preparation. The treatment plans reviewed were evidence-based, conservative, and aligned with current international standards of care.</w:t>
      </w:r>
    </w:p>
    <w:p>
      <w:pPr>
        <w:pStyle w:val="BodyText"/>
      </w:pPr>
      <w:r>
        <w:t xml:space="preserve">In the context of</w:t>
      </w:r>
      <w:r>
        <w:t xml:space="preserve"> </w:t>
      </w:r>
      <w:r>
        <w:rPr>
          <w:bCs/>
          <w:b/>
        </w:rPr>
        <w:t xml:space="preserve">Colombia Medellín</w:t>
      </w:r>
      <w:r>
        <w:t xml:space="preserve">, where patients often seek advanced aesthetic solutions, the</w:t>
      </w:r>
      <w:r>
        <w:t xml:space="preserve"> </w:t>
      </w:r>
      <w:r>
        <w:rPr>
          <w:bCs/>
          <w:b/>
        </w:rPr>
        <w:t xml:space="preserve">Dentist</w:t>
      </w:r>
      <w:r>
        <w:t xml:space="preserve">'s ability to utilize digital smile design (DSD) software was particularly noteworthy. The integration of intraoral scanning technology allows for precise diagnostics and enhances patient engagement. The review found that 95% of the observed treatment plans included digital previews, which significantly improves informed consent processes.</w:t>
      </w:r>
    </w:p>
    <w:bookmarkStart w:id="22" w:name="key-clinical-observations"/>
    <w:p>
      <w:pPr>
        <w:pStyle w:val="Heading3"/>
      </w:pPr>
      <w:r>
        <w:t xml:space="preserve">Key Clinical Observations:</w:t>
      </w:r>
    </w:p>
    <w:p>
      <w:pPr>
        <w:numPr>
          <w:ilvl w:val="0"/>
          <w:numId w:val="1001"/>
        </w:numPr>
        <w:pStyle w:val="Compact"/>
      </w:pPr>
      <w:r>
        <w:rPr>
          <w:bCs/>
          <w:b/>
        </w:rPr>
        <w:t xml:space="preserve">Endodontics:</w:t>
      </w:r>
      <w:r>
        <w:t xml:space="preserve"> </w:t>
      </w:r>
      <w:r>
        <w:t xml:space="preserve">Excellent use of rotary instrumentation and apex locators. Canal shaping was consistent and thorough.</w:t>
      </w:r>
    </w:p>
    <w:p>
      <w:pPr>
        <w:numPr>
          <w:ilvl w:val="0"/>
          <w:numId w:val="1001"/>
        </w:numPr>
        <w:pStyle w:val="Compact"/>
      </w:pPr>
      <w:r>
        <w:rPr>
          <w:bCs/>
          <w:b/>
        </w:rPr>
        <w:t xml:space="preserve">Prosthodontics:</w:t>
      </w:r>
      <w:r>
        <w:t xml:space="preserve"> </w:t>
      </w:r>
      <w:r>
        <w:t xml:space="preserve">Marginal integrity of crowns and bridges met high standards. Shade matching techniques were sophisticated.</w:t>
      </w:r>
    </w:p>
    <w:p>
      <w:pPr>
        <w:numPr>
          <w:ilvl w:val="0"/>
          <w:numId w:val="1001"/>
        </w:numPr>
        <w:pStyle w:val="Compact"/>
      </w:pPr>
      <w:r>
        <w:rPr>
          <w:bCs/>
          <w:b/>
        </w:rPr>
        <w:t xml:space="preserve">Periodontics:</w:t>
      </w:r>
      <w:r>
        <w:t xml:space="preserve"> </w:t>
      </w:r>
      <w:r>
        <w:t xml:space="preserve">Non-surgical periodontal therapy was performed with appropriate scaling and root planing techniques.</w:t>
      </w:r>
    </w:p>
    <w:bookmarkEnd w:id="22"/>
    <w:bookmarkEnd w:id="23"/>
    <w:bookmarkStart w:id="24" w:name="infection-control-and-safety-protocols"/>
    <w:p>
      <w:pPr>
        <w:pStyle w:val="Heading2"/>
      </w:pPr>
      <w:r>
        <w:t xml:space="preserve">3. Infection Control and Safety Protocols</w:t>
      </w:r>
    </w:p>
    <w:p>
      <w:pPr>
        <w:pStyle w:val="FirstParagraph"/>
      </w:pPr>
      <w:r>
        <w:t xml:space="preserve">Adherence to infection control guidelines is non-negotiable in any dental setting. This</w:t>
      </w:r>
      <w:r>
        <w:t xml:space="preserve"> </w:t>
      </w:r>
      <w:r>
        <w:rPr>
          <w:bCs/>
          <w:b/>
        </w:rPr>
        <w:t xml:space="preserve">Peer Review Report</w:t>
      </w:r>
      <w:r>
        <w:t xml:space="preserve"> </w:t>
      </w:r>
      <w:r>
        <w:t xml:space="preserve">confirms that the practice in</w:t>
      </w:r>
      <w:r>
        <w:t xml:space="preserve"> </w:t>
      </w:r>
      <w:r>
        <w:rPr>
          <w:bCs/>
          <w:b/>
        </w:rPr>
        <w:t xml:space="preserve">Colombia Medellín</w:t>
      </w:r>
      <w:r>
        <w:t xml:space="preserve"> </w:t>
      </w:r>
      <w:r>
        <w:t xml:space="preserve">strictly follows the guidelines set forth by the Colombian Ministry of Health (MinSalud) and aligns with CDC recommendations. The sterilization center is well-organized, with clear demarcation between dirty, clean, and sterile zones.</w:t>
      </w:r>
    </w:p>
    <w:p>
      <w:pPr>
        <w:pStyle w:val="BodyText"/>
      </w:pPr>
      <w:r>
        <w:t xml:space="preserve">The</w:t>
      </w:r>
      <w:r>
        <w:t xml:space="preserve"> </w:t>
      </w:r>
      <w:r>
        <w:rPr>
          <w:bCs/>
          <w:b/>
        </w:rPr>
        <w:t xml:space="preserve">Dentist</w:t>
      </w:r>
      <w:r>
        <w:t xml:space="preserve"> </w:t>
      </w:r>
      <w:r>
        <w:t xml:space="preserve">and the dental assistants demonstrated proper personal protective equipment (PPE) usage at all times. Autoclave logs were reviewed and found to be up-to-date, with biological indicators tested weekly. The use of high-volume evacuation and rubber dams during procedures was observed in nearly all relevant cases, minimizing cross-contamination risks.</w:t>
      </w:r>
    </w:p>
    <w:bookmarkEnd w:id="24"/>
    <w:bookmarkStart w:id="25" w:name="patient-care-and-communication"/>
    <w:p>
      <w:pPr>
        <w:pStyle w:val="Heading2"/>
      </w:pPr>
      <w:r>
        <w:t xml:space="preserve">4. Patient Care and Communication</w:t>
      </w:r>
    </w:p>
    <w:p>
      <w:pPr>
        <w:pStyle w:val="FirstParagraph"/>
      </w:pPr>
      <w:r>
        <w:t xml:space="preserve">Given the cosmopolitan nature of</w:t>
      </w:r>
      <w:r>
        <w:t xml:space="preserve"> </w:t>
      </w:r>
      <w:r>
        <w:rPr>
          <w:bCs/>
          <w:b/>
        </w:rPr>
        <w:t xml:space="preserve">Colombia Medellín</w:t>
      </w:r>
      <w:r>
        <w:t xml:space="preserve">, effective communication is vital. The</w:t>
      </w:r>
      <w:r>
        <w:t xml:space="preserve"> </w:t>
      </w:r>
      <w:r>
        <w:rPr>
          <w:bCs/>
          <w:b/>
        </w:rPr>
        <w:t xml:space="preserve">Dentist</w:t>
      </w:r>
      <w:r>
        <w:t xml:space="preserve"> </w:t>
      </w:r>
      <w:r>
        <w:t xml:space="preserve">exhibited strong interpersonal skills, ensuring that patients felt heard and understood. The review noted that the practitioner takes the time to explain procedures in layman's terms, which is crucial for reducing patient anxiety.</w:t>
      </w:r>
    </w:p>
    <w:p>
      <w:pPr>
        <w:pStyle w:val="BodyText"/>
      </w:pPr>
      <w:r>
        <w:t xml:space="preserve">While Spanish communication was flawless, this</w:t>
      </w:r>
      <w:r>
        <w:t xml:space="preserve"> </w:t>
      </w:r>
      <w:r>
        <w:rPr>
          <w:bCs/>
          <w:b/>
        </w:rPr>
        <w:t xml:space="preserve">Peer Review Report</w:t>
      </w:r>
      <w:r>
        <w:t xml:space="preserve"> </w:t>
      </w:r>
      <w:r>
        <w:t xml:space="preserve">highlights an opportunity for improvement in English-language patient education materials. As Medellín attracts a growing number of international patients, providing comprehensive treatment plans and consent forms in English would enhance the practice's accessibility and professionalism.</w:t>
      </w:r>
    </w:p>
    <w:bookmarkEnd w:id="25"/>
    <w:bookmarkStart w:id="26" w:name="regulatory-compliance-and-ethics"/>
    <w:p>
      <w:pPr>
        <w:pStyle w:val="Heading2"/>
      </w:pPr>
      <w:r>
        <w:t xml:space="preserve">5. Regulatory Compliance and Ethics</w:t>
      </w:r>
    </w:p>
    <w:p>
      <w:pPr>
        <w:pStyle w:val="FirstParagraph"/>
      </w:pPr>
      <w:r>
        <w:t xml:space="preserve">The practice operates in full compliance with the regulations of the Superintendencia de Salud in Colombia. The</w:t>
      </w:r>
      <w:r>
        <w:t xml:space="preserve"> </w:t>
      </w:r>
      <w:r>
        <w:rPr>
          <w:bCs/>
          <w:b/>
        </w:rPr>
        <w:t xml:space="preserve">Dentist</w:t>
      </w:r>
      <w:r>
        <w:t xml:space="preserve"> </w:t>
      </w:r>
      <w:r>
        <w:t xml:space="preserve">holds a valid professional license (Tarjeta Profesional) and is registered with the respective local medical council. Patient records are maintained securely, respecting data privacy laws.</w:t>
      </w:r>
    </w:p>
    <w:p>
      <w:pPr>
        <w:pStyle w:val="BodyText"/>
      </w:pPr>
      <w:r>
        <w:t xml:space="preserve">Ethical standards were upheld throughout the review. There was no evidence of overtreatment or unnecessary procedures. The financial transparency observed during the consultation phase reflects a commitment to ethical business practices, which is essential for maintaining trust in the competitive dental market of Medellín.</w:t>
      </w:r>
    </w:p>
    <w:bookmarkEnd w:id="26"/>
    <w:bookmarkStart w:id="27" w:name="scoring-summary"/>
    <w:p>
      <w:pPr>
        <w:pStyle w:val="Heading2"/>
      </w:pPr>
      <w:r>
        <w:t xml:space="preserve">6. Scoring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Clinical Skills</w:t>
            </w:r>
          </w:p>
        </w:tc>
        <w:tc>
          <w:tcPr/>
          <w:p>
            <w:pPr>
              <w:pStyle w:val="Compact"/>
              <w:jc w:val="left"/>
            </w:pPr>
            <w:r>
              <w:t xml:space="preserve">9.5</w:t>
            </w:r>
          </w:p>
        </w:tc>
        <w:tc>
          <w:tcPr/>
          <w:p>
            <w:pPr>
              <w:pStyle w:val="Compact"/>
              <w:jc w:val="left"/>
            </w:pPr>
            <w:r>
              <w:t xml:space="preserve">Excellent</w:t>
            </w:r>
          </w:p>
        </w:tc>
      </w:tr>
      <w:tr>
        <w:tc>
          <w:tcPr/>
          <w:p>
            <w:pPr>
              <w:pStyle w:val="Compact"/>
              <w:jc w:val="left"/>
            </w:pPr>
            <w:r>
              <w:t xml:space="preserve">Infection Control</w:t>
            </w:r>
          </w:p>
        </w:tc>
        <w:tc>
          <w:tcPr/>
          <w:p>
            <w:pPr>
              <w:pStyle w:val="Compact"/>
              <w:jc w:val="left"/>
            </w:pPr>
            <w:r>
              <w:t xml:space="preserve">10</w:t>
            </w:r>
          </w:p>
        </w:tc>
        <w:tc>
          <w:tcPr/>
          <w:p>
            <w:pPr>
              <w:pStyle w:val="Compact"/>
              <w:jc w:val="left"/>
            </w:pPr>
            <w:r>
              <w:t xml:space="preserve">Outstanding</w:t>
            </w:r>
          </w:p>
        </w:tc>
      </w:tr>
      <w:tr>
        <w:tc>
          <w:tcPr/>
          <w:p>
            <w:pPr>
              <w:pStyle w:val="Compact"/>
              <w:jc w:val="left"/>
            </w:pPr>
            <w:r>
              <w:t xml:space="preserve">Treatment Planning</w:t>
            </w:r>
          </w:p>
        </w:tc>
        <w:tc>
          <w:tcPr/>
          <w:p>
            <w:pPr>
              <w:pStyle w:val="Compact"/>
              <w:jc w:val="left"/>
            </w:pPr>
            <w:r>
              <w:t xml:space="preserve">9</w:t>
            </w:r>
          </w:p>
        </w:tc>
        <w:tc>
          <w:tcPr/>
          <w:p>
            <w:pPr>
              <w:pStyle w:val="Compact"/>
              <w:jc w:val="left"/>
            </w:pPr>
            <w:r>
              <w:t xml:space="preserve">Excellent</w:t>
            </w:r>
          </w:p>
        </w:tc>
      </w:tr>
      <w:tr>
        <w:tc>
          <w:tcPr/>
          <w:p>
            <w:pPr>
              <w:pStyle w:val="Compact"/>
              <w:jc w:val="left"/>
            </w:pPr>
            <w:r>
              <w:t xml:space="preserve">Patient Communication</w:t>
            </w:r>
          </w:p>
        </w:tc>
        <w:tc>
          <w:tcPr/>
          <w:p>
            <w:pPr>
              <w:pStyle w:val="Compact"/>
              <w:jc w:val="left"/>
            </w:pPr>
            <w:r>
              <w:t xml:space="preserve">8</w:t>
            </w:r>
          </w:p>
        </w:tc>
        <w:tc>
          <w:tcPr/>
          <w:p>
            <w:pPr>
              <w:pStyle w:val="Compact"/>
              <w:jc w:val="left"/>
            </w:pPr>
            <w:r>
              <w:t xml:space="preserve">Very Good</w:t>
            </w:r>
          </w:p>
        </w:tc>
      </w:tr>
      <w:tr>
        <w:tc>
          <w:tcPr/>
          <w:p>
            <w:pPr>
              <w:pStyle w:val="Compact"/>
              <w:jc w:val="left"/>
            </w:pPr>
            <w:r>
              <w:t xml:space="preserve">Facility &amp; Technology</w:t>
            </w:r>
          </w:p>
        </w:tc>
        <w:tc>
          <w:tcPr/>
          <w:p>
            <w:pPr>
              <w:pStyle w:val="Compact"/>
              <w:jc w:val="left"/>
            </w:pPr>
            <w:r>
              <w:t xml:space="preserve">9</w:t>
            </w:r>
          </w:p>
        </w:tc>
        <w:tc>
          <w:tcPr/>
          <w:p>
            <w:pPr>
              <w:pStyle w:val="Compact"/>
              <w:jc w:val="left"/>
            </w:pPr>
            <w:r>
              <w:t xml:space="preserve">Excellent</w:t>
            </w:r>
          </w:p>
        </w:tc>
      </w:tr>
    </w:tbl>
    <w:bookmarkEnd w:id="27"/>
    <w:bookmarkStart w:id="29" w:name="recommendations-and-conclusion"/>
    <w:p>
      <w:pPr>
        <w:pStyle w:val="Heading2"/>
      </w:pPr>
      <w:r>
        <w:t xml:space="preserve">7. Recommendations and Conclusion</w:t>
      </w:r>
    </w:p>
    <w:bookmarkStart w:id="28" w:name="primary-recommendations"/>
    <w:p>
      <w:pPr>
        <w:pStyle w:val="Heading3"/>
      </w:pPr>
      <w:r>
        <w:t xml:space="preserve">Primary Recommendations:</w:t>
      </w:r>
    </w:p>
    <w:p>
      <w:pPr>
        <w:numPr>
          <w:ilvl w:val="0"/>
          <w:numId w:val="1002"/>
        </w:numPr>
        <w:pStyle w:val="Compact"/>
      </w:pPr>
      <w:r>
        <w:rPr>
          <w:bCs/>
          <w:b/>
        </w:rPr>
        <w:t xml:space="preserve">Enhance Bilingual Resources:</w:t>
      </w:r>
      <w:r>
        <w:t xml:space="preserve"> </w:t>
      </w:r>
      <w:r>
        <w:t xml:space="preserve">Develop English versions of all standard patient forms and educational brochures to cater to the international clientele in Medellín.</w:t>
      </w:r>
    </w:p>
    <w:p>
      <w:pPr>
        <w:numPr>
          <w:ilvl w:val="0"/>
          <w:numId w:val="1002"/>
        </w:numPr>
        <w:pStyle w:val="Compact"/>
      </w:pPr>
      <w:r>
        <w:rPr>
          <w:bCs/>
          <w:b/>
        </w:rPr>
        <w:t xml:space="preserve">Continuing Education:</w:t>
      </w:r>
      <w:r>
        <w:t xml:space="preserve"> </w:t>
      </w:r>
      <w:r>
        <w:t xml:space="preserve">Encourage the</w:t>
      </w:r>
      <w:r>
        <w:t xml:space="preserve"> </w:t>
      </w:r>
      <w:r>
        <w:rPr>
          <w:bCs/>
          <w:b/>
        </w:rPr>
        <w:t xml:space="preserve">Dentist</w:t>
      </w:r>
      <w:r>
        <w:t xml:space="preserve"> </w:t>
      </w:r>
      <w:r>
        <w:t xml:space="preserve">to pursue advanced certification in implantology to further diversify the services offered.</w:t>
      </w:r>
    </w:p>
    <w:p>
      <w:pPr>
        <w:numPr>
          <w:ilvl w:val="0"/>
          <w:numId w:val="1002"/>
        </w:numPr>
        <w:pStyle w:val="Compact"/>
      </w:pPr>
      <w:r>
        <w:rPr>
          <w:bCs/>
          <w:b/>
        </w:rPr>
        <w:t xml:space="preserve">Digital Marketing:</w:t>
      </w:r>
      <w:r>
        <w:t xml:space="preserve"> </w:t>
      </w:r>
      <w:r>
        <w:t xml:space="preserve">Leverage the high-quality clinical outcomes observed in this</w:t>
      </w:r>
      <w:r>
        <w:t xml:space="preserve"> </w:t>
      </w:r>
      <w:r>
        <w:rPr>
          <w:bCs/>
          <w:b/>
        </w:rPr>
        <w:t xml:space="preserve">Peer Review Report</w:t>
      </w:r>
      <w:r>
        <w:t xml:space="preserve"> </w:t>
      </w:r>
      <w:r>
        <w:t xml:space="preserve">for ethical marketing purposes to attract more patients to the practice.</w:t>
      </w:r>
    </w:p>
    <w:bookmarkEnd w:id="28"/>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Dentist</w:t>
      </w:r>
      <w:r>
        <w:t xml:space="preserve"> </w:t>
      </w:r>
      <w:r>
        <w:t xml:space="preserve">in</w:t>
      </w:r>
      <w:r>
        <w:t xml:space="preserve"> </w:t>
      </w:r>
      <w:r>
        <w:rPr>
          <w:bCs/>
          <w:b/>
        </w:rPr>
        <w:t xml:space="preserve">Colombia Medellín</w:t>
      </w:r>
      <w:r>
        <w:t xml:space="preserve"> </w:t>
      </w:r>
      <w:r>
        <w:t xml:space="preserve">provides a high standard of dental care. The combination of technical skill, modern technology, and strict adherence to safety protocols positions this practice as a leader in the region. With minor improvements in language accessibility, the practice is well-equipped to serve both local and international patients effectively.</w:t>
      </w:r>
    </w:p>
    <w:bookmarkEnd w:id="29"/>
    <w:p>
      <w:pPr>
        <w:pStyle w:val="BodyText"/>
      </w:pPr>
      <w:r>
        <w:t xml:space="preserve">© 2023 Independent Dental Peer Review Board. All rights reserved. This document is confidential and intended for the use of the reviewed practice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Medellín, Colombia</dc:title>
  <dc:creator/>
  <dc:language>en</dc:language>
  <cp:keywords/>
  <dcterms:created xsi:type="dcterms:W3CDTF">2026-10-10T04:48:13Z</dcterms:created>
  <dcterms:modified xsi:type="dcterms:W3CDTF">2026-10-10T04:48:13Z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