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Mumbai,</w:t>
      </w:r>
      <w:r>
        <w:t xml:space="preserve"> </w:t>
      </w:r>
      <w:r>
        <w:t xml:space="preserve">India</w:t>
      </w:r>
    </w:p>
    <w:bookmarkStart w:id="20" w:name="X45725f33a04a9ef2801c421bc02e8cba2a5a4a2"/>
    <w:p>
      <w:pPr>
        <w:pStyle w:val="Heading1"/>
      </w:pPr>
      <w:r>
        <w:t xml:space="preserve">Peer Review Report: Clinical Competency and Practice Standards</w:t>
      </w:r>
    </w:p>
    <w:p>
      <w:pPr>
        <w:pStyle w:val="FirstParagraph"/>
      </w:pPr>
      <w:r>
        <w:t xml:space="preserve">Subject:</w:t>
      </w:r>
      <w:r>
        <w:t xml:space="preserve"> </w:t>
      </w:r>
      <w:r>
        <w:t xml:space="preserve">Dr. [Name Redacted], BDS/MDS</w:t>
      </w:r>
    </w:p>
    <w:p>
      <w:pPr>
        <w:pStyle w:val="BodyText"/>
      </w:pPr>
      <w:r>
        <w:t xml:space="preserve">Specialty:</w:t>
      </w:r>
      <w:r>
        <w:t xml:space="preserve"> </w:t>
      </w:r>
      <w:r>
        <w:t xml:space="preserve">General Dentistry &amp; Prosthodontics</w:t>
      </w:r>
    </w:p>
    <w:p>
      <w:pPr>
        <w:pStyle w:val="BodyText"/>
      </w:pPr>
      <w:r>
        <w:t xml:space="preserve">Location:</w:t>
      </w:r>
      <w:r>
        <w:t xml:space="preserve"> </w:t>
      </w:r>
      <w:r>
        <w:t xml:space="preserve">Mumbai, Maharashtra, India</w:t>
      </w:r>
    </w:p>
    <w:p>
      <w:pPr>
        <w:pStyle w:val="BodyText"/>
      </w:pPr>
      <w:r>
        <w:t xml:space="preserve">Review Date:</w:t>
      </w:r>
      <w:r>
        <w:t xml:space="preserve"> </w:t>
      </w:r>
      <w:r>
        <w:t xml:space="preserve">October 24, 2023</w:t>
      </w:r>
    </w:p>
    <w:p>
      <w:pPr>
        <w:pStyle w:val="BodyText"/>
      </w:pPr>
      <w:r>
        <w:t xml:space="preserve">Review Board:</w:t>
      </w:r>
      <w:r>
        <w:t xml:space="preserve"> </w:t>
      </w:r>
      <w:r>
        <w:t xml:space="preserve">Mumbai Dental Quality Assurance Panel</w:t>
      </w:r>
    </w:p>
    <w:p>
      <w:pPr>
        <w:pStyle w:val="BodyText"/>
      </w:pPr>
      <w:r>
        <w:t xml:space="preserve">Report ID:</w:t>
      </w:r>
      <w:r>
        <w:t xml:space="preserve"> </w:t>
      </w:r>
      <w:r>
        <w:t xml:space="preserve">MDR-2023-8942</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practices, patient management protocols, and ethical adherence of the subject Dentist operating within the Mumbai metropolitan area. The review was conducted in accordance with the guidelines set forth by the Dental Council of India (DCI) and the Maharashtra State Dental Council. The primary objective was to assess the quality of care provided in a high-density urban environment like Mumbai, where patient volume is significant and expectations for advanced dental care are rising.</w:t>
      </w:r>
    </w:p>
    <w:p>
      <w:pPr>
        <w:pStyle w:val="BodyText"/>
      </w:pPr>
      <w:r>
        <w:t xml:space="preserve">The review encompasses a comprehensive analysis of 50 anonymized patient records, a physical inspection of the clinical facility, and an assessment of infection control measures. The findings indicate a generally high standard of clinical competence, particularly in restorative dentistry. However, specific areas regarding digital record-keeping and sterilization documentation require immediate attention to align with international best practices and local regulatory updates.</w:t>
      </w:r>
    </w:p>
    <w:bookmarkEnd w:id="21"/>
    <w:bookmarkStart w:id="22" w:name="X9ca21b41d500b4729103c4d51a6ccaf42ba72ba"/>
    <w:p>
      <w:pPr>
        <w:pStyle w:val="Heading2"/>
      </w:pPr>
      <w:r>
        <w:t xml:space="preserve">2. Clinical Competency and Treatment Planning</w:t>
      </w:r>
    </w:p>
    <w:p>
      <w:pPr>
        <w:pStyle w:val="FirstParagraph"/>
      </w:pPr>
      <w:r>
        <w:t xml:space="preserve">The core of this review focused on the diagnostic accuracy and treatment planning strategies employed by the Dentist. In the context of Mumbai's diverse demographic, the ability to tailor treatment plans to varying socioeconomic backgrounds is crucial. The review found that the subject demonstrates excellent diagnostic skills. Radiographic interpretations were accurate, and differential diagnoses were well-documented in the majority of cases.</w:t>
      </w:r>
    </w:p>
    <w:p>
      <w:pPr>
        <w:pStyle w:val="BodyText"/>
      </w:pPr>
      <w:r>
        <w:t xml:space="preserve">Specifically, the management of complex cases involving periodontal disease and endodontic therapy showed a high level of proficiency. The Dentist adheres to evidence-based protocols, ensuring that invasive procedures are only recommended when conservative options are exhausted. This approach is vital for maintaining patient trust in a competitive market like Mumbai. Furthermore, the integration of modern materials, such as zirconia for crowns and composite resins for aesthetic restorations, reflects a commitment to staying updated with technological advancements in the Indian dental sector.</w:t>
      </w:r>
    </w:p>
    <w:bookmarkEnd w:id="22"/>
    <w:bookmarkStart w:id="23" w:name="infection-control-and-safety-protocols"/>
    <w:p>
      <w:pPr>
        <w:pStyle w:val="Heading2"/>
      </w:pPr>
      <w:r>
        <w:t xml:space="preserve">3. Infection Control and Safety Protocols</w:t>
      </w:r>
    </w:p>
    <w:p>
      <w:pPr>
        <w:pStyle w:val="FirstParagraph"/>
      </w:pPr>
      <w:r>
        <w:t xml:space="preserve">Given the tropical climate of Mumbai and the high risk of cross-contamination in busy clinics, infection control is a critical component of this Peer Review Report. The inspection of the sterilization unit revealed that the Dentist utilizes autoclaves effectively. However, the documentation of sterilization cycles was found to be inconsistent. While the physical equipment is of high quality, the lack of detailed logs for every cycle poses a compliance risk.</w:t>
      </w:r>
    </w:p>
    <w:p>
      <w:pPr>
        <w:pStyle w:val="BodyText"/>
      </w:pPr>
      <w:r>
        <w:t xml:space="preserve">The use of personal protective equipment (PPE) by the staff was observed to be compliant with standard precautions. Hand hygiene protocols were strictly followed. Nevertheless, the management of biomedical waste, a strictly regulated area in India under the Biomedical Waste Management Rules, needs reinforcement. The segregation of waste at the point of generation was mostly correct, but labeling on certain containers was ambiguous. Immediate rectification is recommended to avoid penalties from local municipal authorities.</w:t>
      </w:r>
    </w:p>
    <w:bookmarkEnd w:id="23"/>
    <w:bookmarkStart w:id="24" w:name="patient-communication-and-ethics"/>
    <w:p>
      <w:pPr>
        <w:pStyle w:val="Heading2"/>
      </w:pPr>
      <w:r>
        <w:t xml:space="preserve">4. Patient Communication and Ethics</w:t>
      </w:r>
    </w:p>
    <w:p>
      <w:pPr>
        <w:pStyle w:val="FirstParagraph"/>
      </w:pPr>
      <w:r>
        <w:t xml:space="preserve">Effective communication is paramount in the dentist-patient relationship. The review assessed how the Dentist handles informed consent, particularly for high-cost procedures common in Mumbai's private sector. The findings suggest that the Dentist is transparent about costs and treatment outcomes. Informed consent forms were present for all major procedures, written in both English and Marathi/Hindi, which is an excellent practice for ensuring patient understanding in this region.</w:t>
      </w:r>
    </w:p>
    <w:p>
      <w:pPr>
        <w:pStyle w:val="BodyText"/>
      </w:pPr>
      <w:r>
        <w:t xml:space="preserve">Ethical standards were upheld throughout the observed period. There were no instances of overtreatment or unnecessary referrals. The Dentist demonstrated empathy and cultural sensitivity, which is essential when treating a multicultural patient base in Mumbai. The waiting times were managed efficiently, reflecting a well-organized administrative system.</w:t>
      </w:r>
    </w:p>
    <w:bookmarkEnd w:id="24"/>
    <w:bookmarkStart w:id="25" w:name="quantitative-assessment"/>
    <w:p>
      <w:pPr>
        <w:pStyle w:val="Heading2"/>
      </w:pPr>
      <w:r>
        <w:t xml:space="preserve">5. Quantitative Assessment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Score (1-10)</w:t>
            </w:r>
          </w:p>
        </w:tc>
        <w:tc>
          <w:tcPr/>
          <w:p>
            <w:pPr>
              <w:pStyle w:val="Compact"/>
              <w:jc w:val="left"/>
            </w:pPr>
            <w:r>
              <w:t xml:space="preserve">Rating</w:t>
            </w:r>
          </w:p>
        </w:tc>
      </w:tr>
      <w:tr>
        <w:tc>
          <w:tcPr/>
          <w:p>
            <w:pPr>
              <w:pStyle w:val="Compact"/>
              <w:jc w:val="left"/>
            </w:pPr>
            <w:r>
              <w:t xml:space="preserve">Clinical Diagnosis &amp; Treatment</w:t>
            </w:r>
          </w:p>
        </w:tc>
        <w:tc>
          <w:tcPr/>
          <w:p>
            <w:pPr>
              <w:pStyle w:val="Compact"/>
              <w:jc w:val="left"/>
            </w:pPr>
            <w:r>
              <w:t xml:space="preserve">9</w:t>
            </w:r>
          </w:p>
        </w:tc>
        <w:tc>
          <w:tcPr/>
          <w:p>
            <w:pPr>
              <w:pStyle w:val="Compact"/>
              <w:jc w:val="left"/>
            </w:pPr>
            <w:r>
              <w:t xml:space="preserve">Excellent</w:t>
            </w:r>
          </w:p>
        </w:tc>
      </w:tr>
      <w:tr>
        <w:tc>
          <w:tcPr/>
          <w:p>
            <w:pPr>
              <w:pStyle w:val="Compact"/>
              <w:jc w:val="left"/>
            </w:pPr>
            <w:r>
              <w:t xml:space="preserve">Infection Control &amp; Safety</w:t>
            </w:r>
          </w:p>
        </w:tc>
        <w:tc>
          <w:tcPr/>
          <w:p>
            <w:pPr>
              <w:pStyle w:val="Compact"/>
              <w:jc w:val="left"/>
            </w:pPr>
            <w:r>
              <w:t xml:space="preserve">7</w:t>
            </w:r>
          </w:p>
        </w:tc>
        <w:tc>
          <w:tcPr/>
          <w:p>
            <w:pPr>
              <w:pStyle w:val="Compact"/>
              <w:jc w:val="left"/>
            </w:pPr>
            <w:r>
              <w:t xml:space="preserve">Satisfactory</w:t>
            </w:r>
          </w:p>
        </w:tc>
      </w:tr>
      <w:tr>
        <w:tc>
          <w:tcPr/>
          <w:p>
            <w:pPr>
              <w:pStyle w:val="Compact"/>
              <w:jc w:val="left"/>
            </w:pPr>
            <w:r>
              <w:t xml:space="preserve">Patient Communication</w:t>
            </w:r>
          </w:p>
        </w:tc>
        <w:tc>
          <w:tcPr/>
          <w:p>
            <w:pPr>
              <w:pStyle w:val="Compact"/>
              <w:jc w:val="left"/>
            </w:pPr>
            <w:r>
              <w:t xml:space="preserve">9</w:t>
            </w:r>
          </w:p>
        </w:tc>
        <w:tc>
          <w:tcPr/>
          <w:p>
            <w:pPr>
              <w:pStyle w:val="Compact"/>
              <w:jc w:val="left"/>
            </w:pPr>
            <w:r>
              <w:t xml:space="preserve">Excellent</w:t>
            </w:r>
          </w:p>
        </w:tc>
      </w:tr>
      <w:tr>
        <w:tc>
          <w:tcPr/>
          <w:p>
            <w:pPr>
              <w:pStyle w:val="Compact"/>
              <w:jc w:val="left"/>
            </w:pPr>
            <w:r>
              <w:t xml:space="preserve">Record Keeping &amp; Documentation</w:t>
            </w:r>
          </w:p>
        </w:tc>
        <w:tc>
          <w:tcPr/>
          <w:p>
            <w:pPr>
              <w:pStyle w:val="Compact"/>
              <w:jc w:val="left"/>
            </w:pPr>
            <w:r>
              <w:t xml:space="preserve">6</w:t>
            </w:r>
          </w:p>
        </w:tc>
        <w:tc>
          <w:tcPr/>
          <w:p>
            <w:pPr>
              <w:pStyle w:val="Compact"/>
              <w:jc w:val="left"/>
            </w:pPr>
            <w:r>
              <w:t xml:space="preserve">Needs Improvement</w:t>
            </w:r>
          </w:p>
        </w:tc>
      </w:tr>
      <w:tr>
        <w:tc>
          <w:tcPr/>
          <w:p>
            <w:pPr>
              <w:pStyle w:val="Compact"/>
              <w:jc w:val="left"/>
            </w:pPr>
            <w:r>
              <w:t xml:space="preserve">Ethical Compliance</w:t>
            </w:r>
          </w:p>
        </w:tc>
        <w:tc>
          <w:tcPr/>
          <w:p>
            <w:pPr>
              <w:pStyle w:val="Compact"/>
              <w:jc w:val="left"/>
            </w:pPr>
            <w:r>
              <w:t xml:space="preserve">10</w:t>
            </w:r>
          </w:p>
        </w:tc>
        <w:tc>
          <w:tcPr/>
          <w:p>
            <w:pPr>
              <w:pStyle w:val="Compact"/>
              <w:jc w:val="left"/>
            </w:pPr>
            <w:r>
              <w:t xml:space="preserve">Outstanding</w:t>
            </w:r>
          </w:p>
        </w:tc>
      </w:tr>
    </w:tbl>
    <w:bookmarkEnd w:id="25"/>
    <w:bookmarkStart w:id="26" w:name="recommendations-and-conclusion"/>
    <w:p>
      <w:pPr>
        <w:pStyle w:val="Heading2"/>
      </w:pPr>
      <w:r>
        <w:t xml:space="preserve">6. Recommendations and Conclusion</w:t>
      </w:r>
    </w:p>
    <w:p>
      <w:pPr>
        <w:pStyle w:val="FirstParagraph"/>
      </w:pPr>
      <w:r>
        <w:t xml:space="preserve">Based on the comprehensive evaluation, the Peer Review Report concludes that the Dentist is a competent and ethical practitioner contributing positively to the dental healthcare landscape in Mumbai. The clinical skills are robust, and the patient-centric approach is commendable. However, to achieve excellence and ensure full regulatory compliance, the following actions are recommended:</w:t>
      </w:r>
    </w:p>
    <w:p>
      <w:pPr>
        <w:numPr>
          <w:ilvl w:val="0"/>
          <w:numId w:val="1001"/>
        </w:numPr>
        <w:pStyle w:val="Compact"/>
      </w:pPr>
      <w:r>
        <w:rPr>
          <w:bCs/>
          <w:b/>
        </w:rPr>
        <w:t xml:space="preserve">Enhance Documentation:</w:t>
      </w:r>
      <w:r>
        <w:t xml:space="preserve"> </w:t>
      </w:r>
      <w:r>
        <w:t xml:space="preserve">Implement a digital practice management system to streamline patient records and sterilization logs. This will improve efficiency and compliance with DCI standards.</w:t>
      </w:r>
    </w:p>
    <w:p>
      <w:pPr>
        <w:numPr>
          <w:ilvl w:val="0"/>
          <w:numId w:val="1001"/>
        </w:numPr>
        <w:pStyle w:val="Compact"/>
      </w:pPr>
      <w:r>
        <w:rPr>
          <w:bCs/>
          <w:b/>
        </w:rPr>
        <w:t xml:space="preserve">Biomedical Waste Training:</w:t>
      </w:r>
      <w:r>
        <w:t xml:space="preserve"> </w:t>
      </w:r>
      <w:r>
        <w:t xml:space="preserve">Conduct refresher training for all staff members on the latest Biomedical Waste Management Rules to ensure precise segregation and labeling.</w:t>
      </w:r>
    </w:p>
    <w:p>
      <w:pPr>
        <w:numPr>
          <w:ilvl w:val="0"/>
          <w:numId w:val="1001"/>
        </w:numPr>
        <w:pStyle w:val="Compact"/>
      </w:pPr>
      <w:r>
        <w:rPr>
          <w:bCs/>
          <w:b/>
        </w:rPr>
        <w:t xml:space="preserve">Continuous Education:</w:t>
      </w:r>
      <w:r>
        <w:t xml:space="preserve"> </w:t>
      </w:r>
      <w:r>
        <w:t xml:space="preserve">Encourage participation in advanced workshops on digital dentistry to further leverage technology available in the Mumbai market.</w:t>
      </w:r>
    </w:p>
    <w:p>
      <w:pPr>
        <w:pStyle w:val="FirstParagraph"/>
      </w:pPr>
      <w:r>
        <w:t xml:space="preserve">In summary, this Dentist meets the required standards for practice in India Mumbai. With the implementation of the suggested improvements, the practice will not only mitigate regulatory risks but also elevate the standard of care provided to the community. This report serves as a constructive tool for professional growth and quality assurance.</w:t>
      </w:r>
    </w:p>
    <w:bookmarkEnd w:id="26"/>
    <w:p>
      <w:pPr>
        <w:pStyle w:val="BodyText"/>
      </w:pPr>
      <w:r>
        <w:t xml:space="preserve">This document is confidential and intended solely for the use of the subject Dentist and the reviewing board.</w:t>
      </w:r>
      <w:r>
        <w:br/>
      </w:r>
      <w:r>
        <w:t xml:space="preserve">© 2023 Mumbai Dental Quality Assurance Panel.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Mumbai, India</dc:title>
  <dc:creator/>
  <dc:language>en</dc:language>
  <cp:keywords/>
  <dcterms:created xsi:type="dcterms:W3CDTF">2026-10-10T02:44:15Z</dcterms:created>
  <dcterms:modified xsi:type="dcterms:W3CDTF">2026-10-10T02:44:15Z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