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Clinical and Operational Standards Assessment</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Peer Review Panel</w:t>
      </w:r>
    </w:p>
    <w:p>
      <w:pPr>
        <w:pStyle w:val="BodyText"/>
      </w:pPr>
      <w:r>
        <w:rPr>
          <w:bCs/>
          <w:b/>
        </w:rPr>
        <w:t xml:space="preserve">Reference Number:</w:t>
      </w:r>
      <w:r>
        <w:t xml:space="preserve"> </w:t>
      </w:r>
      <w:r>
        <w:t xml:space="preserve">BHM-PR-2023-089</w:t>
      </w:r>
    </w:p>
    <w:bookmarkStart w:id="20" w:name="introduction-and-scope"/>
    <w:p>
      <w:pPr>
        <w:pStyle w:val="Heading2"/>
      </w:pPr>
      <w:r>
        <w:t xml:space="preserve">1. Introduction and Scope</w:t>
      </w:r>
    </w:p>
    <w:p>
      <w:pPr>
        <w:pStyle w:val="FirstParagraph"/>
      </w:pPr>
      <w:r>
        <w:t xml:space="preserve">This Peer Review Report has been commissioned to evaluate the clinical competence, operational efficiency, and regulatory compliance of a dental practice located within the city of Birmingham, United Kingdom. The primary objective of this review is to ensure that the Dentist and their associated team adhere to the rigorous standards set forth by the General Dental Council (GDC) and the Care Quality Commission (CQC). Birmingham, as a major metropolitan hub in the West Midlands, presents a diverse demographic landscape. Consequently, this review places significant emphasis on the practice's ability to deliver equitable, high-quality care to a multicultural patient base while maintaining the highest levels of clinical safety and infection control.</w:t>
      </w:r>
    </w:p>
    <w:bookmarkEnd w:id="20"/>
    <w:bookmarkStart w:id="21" w:name="regulatory-compliance-and-governance"/>
    <w:p>
      <w:pPr>
        <w:pStyle w:val="Heading2"/>
      </w:pPr>
      <w:r>
        <w:t xml:space="preserve">2. Regulatory Compliance and Governance</w:t>
      </w:r>
    </w:p>
    <w:p>
      <w:pPr>
        <w:pStyle w:val="FirstParagraph"/>
      </w:pPr>
      <w:r>
        <w:t xml:space="preserve">The initial phase of the review focused on the practice's adherence to UK statutory requirements. The Dentist was found to be fully registered with the General Dental Council, holding a valid licence to practise. The practice maintains up-to-date indemnity insurance, a mandatory requirement for all dental professionals in the United Kingdom. Furthermore, the governance structure within the Birmingham clinic demonstrates a clear understanding of the CQC's five key questions: Safe, Effective, Caring, Responsive, and Well-led.</w:t>
      </w:r>
    </w:p>
    <w:p>
      <w:pPr>
        <w:pStyle w:val="BodyText"/>
      </w:pPr>
      <w:r>
        <w:t xml:space="preserve">Documentation regarding staff training, safeguarding policies, and data protection under the UK General Data Protection Regulation (UK GDPR) was thoroughly examined. The records indicate a robust system for managing patient confidentiality and a proactive approach to safeguarding vulnerable adults and children, which is particularly critical in a densely populated urban environment like Birmingham.</w:t>
      </w:r>
    </w:p>
    <w:bookmarkEnd w:id="21"/>
    <w:bookmarkStart w:id="22" w:name="clinical-standards-and-patient-care"/>
    <w:p>
      <w:pPr>
        <w:pStyle w:val="Heading2"/>
      </w:pPr>
      <w:r>
        <w:t xml:space="preserve">3. Clinical Standards and Patient Care</w:t>
      </w:r>
    </w:p>
    <w:p>
      <w:pPr>
        <w:pStyle w:val="FirstParagraph"/>
      </w:pPr>
      <w:r>
        <w:t xml:space="preserve">A comprehensive audit of clinical records was conducted to assess the quality of care provided by the Dentist. The review examined a random selection of patient files, focusing on treatment planning, informed consent, and clinical outcomes. The findings suggest that the Dentist employs evidence-based practices consistent with current UK dental guidelines. Treatment plans were detailed, offering patients clear options and cost implications, which aligns with the GDC's standards for patient information and consent.</w:t>
      </w:r>
    </w:p>
    <w:p>
      <w:pPr>
        <w:pStyle w:val="BodyText"/>
      </w:pPr>
      <w:r>
        <w:t xml:space="preserve">Special attention was given to the management of complex cases. The Dentist demonstrated a high level of clinical skill in restorative and endodontic procedures. However, the review noted that while clinical outcomes were generally excellent, there is an opportunity to enhance the documentation of long-term follow-up care for patients undergoing extensive periodontal treatment. Ensuring continuity of care is vital for maintaining oral health in the long term, particularly for patients managing systemic conditions such as diabetes, which have a higher prevalence in certain communities within Birmingham.</w:t>
      </w:r>
    </w:p>
    <w:bookmarkEnd w:id="22"/>
    <w:bookmarkStart w:id="23" w:name="infection-prevention-and-control"/>
    <w:p>
      <w:pPr>
        <w:pStyle w:val="Heading2"/>
      </w:pPr>
      <w:r>
        <w:t xml:space="preserve">4. Infection Prevention and Control</w:t>
      </w:r>
    </w:p>
    <w:p>
      <w:pPr>
        <w:pStyle w:val="FirstParagraph"/>
      </w:pPr>
      <w:r>
        <w:t xml:space="preserve">Infection prevention and control (IPC) is a cornerstone of dental practice safety. The review team conducted a physical inspection of the clinical areas, sterilisation units, and waste management procedures. The practice in Birmingham adheres strictly to the Health Technical Memorandum (HTM) 01-05, which sets the standards for decontamination in dental practices. The sterilisation logs were complete and accurately recorded, and the use of personal protective equipment (PPE) by the Dentist and support staff was observed to be consistent with best practices.</w:t>
      </w:r>
    </w:p>
    <w:p>
      <w:pPr>
        <w:pStyle w:val="BodyText"/>
      </w:pPr>
      <w:r>
        <w:t xml:space="preserve">The layout of the clinic facilitates effective cross-contamination control, with clear separation between clean and dirty zones. The review commends the practice for its investment in modern autoclave technology and its regular external auditing of sterilisation processes. These measures are essential for maintaining public trust and ensuring patient safety in a high-volume practice.</w:t>
      </w:r>
    </w:p>
    <w:bookmarkEnd w:id="23"/>
    <w:bookmarkStart w:id="24" w:name="X0ef51bbfa996fab0d049472ebf1528808501a98"/>
    <w:p>
      <w:pPr>
        <w:pStyle w:val="Heading2"/>
      </w:pPr>
      <w:r>
        <w:t xml:space="preserve">5. Professional Development and Team Dynamics</w:t>
      </w:r>
    </w:p>
    <w:p>
      <w:pPr>
        <w:pStyle w:val="FirstParagraph"/>
      </w:pPr>
      <w:r>
        <w:t xml:space="preserve">Continuing Professional Development (CPD) is mandatory for all GDC-registered professionals. The Dentist's CPD portfolio was reviewed and found to be comprehensive, covering a wide range of topics including clinical updates, ethics, and business management. The commitment to ongoing learning is evident and contributes significantly to the quality of care provided.</w:t>
      </w:r>
    </w:p>
    <w:p>
      <w:pPr>
        <w:pStyle w:val="BodyText"/>
      </w:pPr>
      <w:r>
        <w:t xml:space="preserve">The review also assessed the team dynamics within the practice. A supportive and collaborative environment was observed, with clear lines of communication between the Dentist, dental nurses, and reception staff. This positive culture is crucial for delivering responsive and caring service to patients. The practice has implemented regular team meetings to discuss clinical cases and operational issues, fostering a culture of continuous improvement.</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further enhance the practice's performance:</w:t>
      </w:r>
    </w:p>
    <w:p>
      <w:pPr>
        <w:numPr>
          <w:ilvl w:val="0"/>
          <w:numId w:val="1001"/>
        </w:numPr>
        <w:pStyle w:val="Compact"/>
      </w:pPr>
      <w:r>
        <w:rPr>
          <w:bCs/>
          <w:b/>
        </w:rPr>
        <w:t xml:space="preserve">Enhanced Follow-Up Protocols:</w:t>
      </w:r>
      <w:r>
        <w:t xml:space="preserve"> </w:t>
      </w:r>
      <w:r>
        <w:t xml:space="preserve">Implement a more structured system for tracking long-term outcomes of complex periodontal and restorative cases.</w:t>
      </w:r>
    </w:p>
    <w:p>
      <w:pPr>
        <w:numPr>
          <w:ilvl w:val="0"/>
          <w:numId w:val="1001"/>
        </w:numPr>
        <w:pStyle w:val="Compact"/>
      </w:pPr>
      <w:r>
        <w:rPr>
          <w:bCs/>
          <w:b/>
        </w:rPr>
        <w:t xml:space="preserve">Community Engagement:</w:t>
      </w:r>
      <w:r>
        <w:t xml:space="preserve"> </w:t>
      </w:r>
      <w:r>
        <w:t xml:space="preserve">Consider developing targeted oral health promotion initiatives tailored to the diverse communities in Birmingham, potentially in collaboration with local health authorities.</w:t>
      </w:r>
    </w:p>
    <w:p>
      <w:pPr>
        <w:numPr>
          <w:ilvl w:val="0"/>
          <w:numId w:val="1001"/>
        </w:numPr>
        <w:pStyle w:val="Compact"/>
      </w:pPr>
      <w:r>
        <w:rPr>
          <w:bCs/>
          <w:b/>
        </w:rPr>
        <w:t xml:space="preserve">Digital Integration:</w:t>
      </w:r>
      <w:r>
        <w:t xml:space="preserve"> </w:t>
      </w:r>
      <w:r>
        <w:t xml:space="preserve">Explore further integration of digital tools for patient communication and appointment management to improve accessibility and responsiveness.</w:t>
      </w:r>
    </w:p>
    <w:bookmarkEnd w:id="25"/>
    <w:bookmarkStart w:id="26" w:name="conclusion"/>
    <w:p>
      <w:pPr>
        <w:pStyle w:val="Heading2"/>
      </w:pPr>
      <w:r>
        <w:t xml:space="preserve">7. Conclusion</w:t>
      </w:r>
    </w:p>
    <w:p>
      <w:pPr>
        <w:pStyle w:val="FirstParagraph"/>
      </w:pPr>
      <w:r>
        <w:t xml:space="preserve">In conclusion, this Peer Review Report confirms that the Dentist and their practice in Birmingham, United Kingdom, operate to a high standard of clinical excellence and regulatory compliance. The practice demonstrates a strong commitment to patient safety, professional development, and continuous improvement. By addressing the minor areas for improvement identified in this report, the practice is well-positioned to continue providing outstanding dental care to the residents of Birmingham and the wider West Midlands region.</w:t>
      </w:r>
    </w:p>
    <w:p>
      <w:pPr>
        <w:pStyle w:val="BodyText"/>
      </w:pPr>
      <w:r>
        <w:rPr>
          <w:bCs/>
          <w:b/>
        </w:rPr>
        <w:t xml:space="preserve">Report Prepared By:</w:t>
      </w:r>
    </w:p>
    <w:p>
      <w:pPr>
        <w:pStyle w:val="BodyText"/>
      </w:pPr>
      <w:r>
        <w:t xml:space="preserve">Dr. Sarah Jenkins, BDS, MSc</w:t>
      </w:r>
    </w:p>
    <w:p>
      <w:pPr>
        <w:pStyle w:val="BodyText"/>
      </w:pPr>
      <w:r>
        <w:t xml:space="preserve">Senior Dental Peer Reviewer</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Birmingham, United Kingdom</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