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Competency of a Registered Dietitian</w:t>
      </w:r>
    </w:p>
    <w:p>
      <w:pPr>
        <w:pStyle w:val="BodyText"/>
      </w:pPr>
      <w:r>
        <w:rPr>
          <w:bCs/>
          <w:b/>
        </w:rPr>
        <w:t xml:space="preserve">Location:</w:t>
      </w:r>
      <w:r>
        <w:t xml:space="preserve"> </w:t>
      </w:r>
      <w:r>
        <w:t xml:space="preserve">Brisbane, Queensland, Australia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Queensland Dietetic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practice, clinical reasoning, and ethical conduct of a registered Dietitian operating within the Brisbane metropolitan area. The primary objective of this review is to ensure that the practitioner maintains the high standards required by the Dietitians Association of Australia (DAA) and complies with the National Registration and Accreditation Scheme managed by the Australian Health Practitioner Regulation Agency (AHPRA).</w:t>
      </w:r>
    </w:p>
    <w:p>
      <w:pPr>
        <w:pStyle w:val="BodyText"/>
      </w:pPr>
      <w:r>
        <w:t xml:space="preserve">Given the unique healthcare landscape in Australia Brisbane, this assessment specifically considers the local demographic needs, including the high prevalence of lifestyle-related diseases such as type 2 diabetes and cardiovascular conditions, as well as the multicultural dietary requirements of the Brisbane community. The review aims to verify that the Dietitian provides evidence-based nutrition care that is culturally safe and clinically effective.</w:t>
      </w:r>
    </w:p>
    <w:bookmarkEnd w:id="21"/>
    <w:bookmarkStart w:id="22" w:name="X47255de462c92b8fb13b5c501e82b02ffe62f4b"/>
    <w:p>
      <w:pPr>
        <w:pStyle w:val="Heading2"/>
      </w:pPr>
      <w:r>
        <w:t xml:space="preserve">2. Scope of Practice and Registration Status</w:t>
      </w:r>
    </w:p>
    <w:p>
      <w:pPr>
        <w:pStyle w:val="FirstParagraph"/>
      </w:pPr>
      <w:r>
        <w:t xml:space="preserve">The subject of this review holds current general registration as a Dietitian with AHPRA. The review confirms that the practitioner is an accredited member of the Dietitians Association of Australia, which is a mandatory requirement for professional indemnity insurance and Medicare rebates in Australia.</w:t>
      </w:r>
    </w:p>
    <w:p>
      <w:pPr>
        <w:pStyle w:val="BodyText"/>
      </w:pPr>
      <w:r>
        <w:t xml:space="preserve">The scope of practice assessed includes outpatient clinical consultations, group education sessions, and private practice management. The review specifically examined the Dietitian's adherence to the Code of Conduct and Code of Ethics for Dietitians in Australia. It was noted that the practitioner operates within the boundaries of their competence, referring clients to other allied health professionals in Brisbane when medical management exceeds the scope of nutrition therapy.</w:t>
      </w:r>
    </w:p>
    <w:bookmarkEnd w:id="22"/>
    <w:bookmarkStart w:id="23" w:name="X954a0ba0858dfb6d16db8e5ee5f744abf53c9e8"/>
    <w:p>
      <w:pPr>
        <w:pStyle w:val="Heading2"/>
      </w:pPr>
      <w:r>
        <w:t xml:space="preserve">3. Clinical Competency and Evidence-Based Practice</w:t>
      </w:r>
    </w:p>
    <w:p>
      <w:pPr>
        <w:pStyle w:val="FirstParagraph"/>
      </w:pPr>
      <w:r>
        <w:t xml:space="preserve">A significant portion of this Peer Review Report focuses on the clinical decision-making processes employed by the Dietitian. Case files were audited to assess the application of the Nutrition Care Process (NCP). The review found that the practitioner consistently utilizes the most current evidence-based guidelines, including those from the National Health and Medical Research Council (NHMRC) regarding Australian Dietary Guidelines.</w:t>
      </w:r>
    </w:p>
    <w:p>
      <w:pPr>
        <w:pStyle w:val="BodyText"/>
      </w:pPr>
      <w:r>
        <w:t xml:space="preserve">In the context of Brisbane's healthcare environment, the Dietitian demonstrated strong competency in managing complex cases involving renal disease and metabolic disorders. The documentation showed a thorough assessment of biochemical data, anthropometric measurements, and dietary history. Furthermore, the practitioner showed an ability to adapt clinical guidelines to suit the specific lifestyle factors of clients in South East Queensland, such as active outdoor lifestyles and local food availability.</w:t>
      </w:r>
    </w:p>
    <w:bookmarkEnd w:id="23"/>
    <w:bookmarkStart w:id="24" w:name="Xd0201a9dcd136e6d0b667195a58bb32680fec99"/>
    <w:p>
      <w:pPr>
        <w:pStyle w:val="Heading2"/>
      </w:pPr>
      <w:r>
        <w:t xml:space="preserve">4. Cultural Competency and Community Engagement</w:t>
      </w:r>
    </w:p>
    <w:p>
      <w:pPr>
        <w:pStyle w:val="FirstParagraph"/>
      </w:pPr>
      <w:r>
        <w:t xml:space="preserve">Brisbane is a culturally diverse city, and effective nutrition care requires a high degree of cultural sensitivity. This review assessed how the Dietitian addresses the dietary needs of Indigenous Australians and multicultural communities residing in Brisbane. The report highlights that the practitioner actively incorporates culturally appropriate food choices into meal plans, respecting traditional diets while promoting health outcomes.</w:t>
      </w:r>
    </w:p>
    <w:p>
      <w:pPr>
        <w:pStyle w:val="BodyText"/>
      </w:pPr>
      <w:r>
        <w:t xml:space="preserve">The Dietitian was observed engaging with local community health initiatives in Brisbane, providing workshops on healthy eating and obesity prevention. This engagement demonstrates a commitment to public health and aligns with the broader goals of the Queensland Government’s health strategies. The ability to communicate complex nutritional information in plain English, suitable for clients with varying health literacy levels, was rated as excellent.</w:t>
      </w:r>
    </w:p>
    <w:bookmarkEnd w:id="24"/>
    <w:bookmarkStart w:id="25" w:name="Xb37de5b4191a7eb83c1cc4758fac34b3b558f6d"/>
    <w:p>
      <w:pPr>
        <w:pStyle w:val="Heading2"/>
      </w:pPr>
      <w:r>
        <w:t xml:space="preserve">5. Professional Development and Continuing Education</w:t>
      </w:r>
    </w:p>
    <w:p>
      <w:pPr>
        <w:pStyle w:val="FirstParagraph"/>
      </w:pPr>
      <w:r>
        <w:t xml:space="preserve">To maintain registration in Australia, Dietitians must complete a minimum of 75 hours of Continuing Professional Development (CPD) every three years. This Peer Review Report confirms that the subject has not only met but exceeded these requirements. The practitioner has engaged in advanced training in sports nutrition and pediatric dietetics, areas of growing demand in the Brisbane region.</w:t>
      </w:r>
    </w:p>
    <w:p>
      <w:pPr>
        <w:pStyle w:val="BodyText"/>
      </w:pPr>
      <w:r>
        <w:t xml:space="preserve">The review notes that the Dietitian actively participates in local professional networks and conferences held in Queensland. This ongoing engagement ensures that their practice remains current with emerging research and best practices in the field of nutrition and dietetics.</w:t>
      </w:r>
    </w:p>
    <w:bookmarkEnd w:id="25"/>
    <w:bookmarkStart w:id="26" w:name="documentation-and-record-keeping"/>
    <w:p>
      <w:pPr>
        <w:pStyle w:val="Heading2"/>
      </w:pPr>
      <w:r>
        <w:t xml:space="preserve">6. Documentation and Record Keeping</w:t>
      </w:r>
    </w:p>
    <w:p>
      <w:pPr>
        <w:pStyle w:val="FirstParagraph"/>
      </w:pPr>
      <w:r>
        <w:t xml:space="preserve">Accurate record keeping is essential for legal protection and continuity of care. The audit of patient records revealed that the Dietitian maintains comprehensive, confidential, and legible documentation. All records comply with the Privacy Act 1988 (Cth) and the Australian Privacy Principles.</w:t>
      </w:r>
    </w:p>
    <w:p>
      <w:pPr>
        <w:pStyle w:val="BodyText"/>
      </w:pPr>
      <w:r>
        <w:t xml:space="preserve">The documentation clearly outlines the nutrition diagnosis, intervention strategies, and monitoring outcomes. This level of detail is crucial for multidisciplinary collaboration, particularly when the Dietitian is working alongside GPs and specialists in Brisbane hospitals and private clinics.</w:t>
      </w:r>
    </w:p>
    <w:bookmarkEnd w:id="26"/>
    <w:bookmarkStart w:id="27" w:name="recommendations-and-conclusion"/>
    <w:p>
      <w:pPr>
        <w:pStyle w:val="Heading2"/>
      </w:pPr>
      <w:r>
        <w:t xml:space="preserve">7. Recommendations and Conclusion</w:t>
      </w:r>
    </w:p>
    <w:p>
      <w:pPr>
        <w:pStyle w:val="FirstParagraph"/>
      </w:pPr>
      <w:r>
        <w:t xml:space="preserve">Based on the findings of this Peer Review Report, the reviewing committee concludes that the Dietitian demonstrates a high level of professional competence, ethical practice, and clinical skill. The practitioner is well-suited to the demands of providing nutrition care in Australia Brisbane, showing particular strength in cultural competency and evidence-based clinical reasoning.</w:t>
      </w:r>
    </w:p>
    <w:p>
      <w:pPr>
        <w:pStyle w:val="BodyText"/>
      </w:pPr>
      <w:r>
        <w:rPr>
          <w:bCs/>
          <w:b/>
        </w:rPr>
        <w:t xml:space="preserve">Recommendations:</w:t>
      </w:r>
    </w:p>
    <w:p>
      <w:pPr>
        <w:numPr>
          <w:ilvl w:val="0"/>
          <w:numId w:val="1001"/>
        </w:numPr>
        <w:pStyle w:val="Compact"/>
      </w:pPr>
      <w:r>
        <w:t xml:space="preserve">Continue to engage in CPD activities focused on emerging research in gut health and microbiome science.</w:t>
      </w:r>
    </w:p>
    <w:p>
      <w:pPr>
        <w:numPr>
          <w:ilvl w:val="0"/>
          <w:numId w:val="1001"/>
        </w:numPr>
        <w:pStyle w:val="Compact"/>
      </w:pPr>
      <w:r>
        <w:t xml:space="preserve">Consider expanding telehealth services to reach clients in regional areas surrounding Brisbane.</w:t>
      </w:r>
    </w:p>
    <w:p>
      <w:pPr>
        <w:numPr>
          <w:ilvl w:val="0"/>
          <w:numId w:val="1001"/>
        </w:numPr>
        <w:pStyle w:val="Compact"/>
      </w:pPr>
      <w:r>
        <w:t xml:space="preserve">Maintain current levels of documentation and interdisciplinary communication.</w:t>
      </w:r>
    </w:p>
    <w:p>
      <w:pPr>
        <w:pStyle w:val="FirstParagraph"/>
      </w:pPr>
      <w:r>
        <w:t xml:space="preserve">This report serves as a formal endorsement of the Dietitian’s practice. It is recommended that the practitioner’s registration be renewed without restriction.</w:t>
      </w:r>
    </w:p>
    <w:bookmarkEnd w:id="27"/>
    <w:p>
      <w:pPr>
        <w:pStyle w:val="BodyText"/>
      </w:pPr>
      <w:r>
        <w:rPr>
          <w:bCs/>
          <w:b/>
        </w:rPr>
        <w:t xml:space="preserve">Prepared by:</w:t>
      </w:r>
    </w:p>
    <w:p>
      <w:pPr>
        <w:pStyle w:val="BodyText"/>
      </w:pPr>
      <w:r>
        <w:t xml:space="preserve">Dr. Sarah Jenkins, PhD, RD</w:t>
      </w:r>
    </w:p>
    <w:p>
      <w:pPr>
        <w:pStyle w:val="BodyText"/>
      </w:pPr>
      <w:r>
        <w:t xml:space="preserve">Senior Peer Reviewer</w:t>
      </w:r>
    </w:p>
    <w:p>
      <w:pPr>
        <w:pStyle w:val="BodyText"/>
      </w:pPr>
      <w:r>
        <w:t xml:space="preserve">Queensland Dietetic Peer Review Committee</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Brisbane, Australia</dc:title>
  <dc:creator/>
  <dc:language>en</dc:language>
  <cp:keywords/>
  <dcterms:created xsi:type="dcterms:W3CDTF">2026-10-10T05:11:07Z</dcterms:created>
  <dcterms:modified xsi:type="dcterms:W3CDTF">2026-10-10T05:11:07Z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