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Clinical</w:t>
      </w:r>
      <w:r>
        <w:t xml:space="preserve"> </w:t>
      </w:r>
      <w:r>
        <w:t xml:space="preserve">Dietitian</w:t>
      </w:r>
      <w:r>
        <w:t xml:space="preserve"> </w:t>
      </w:r>
      <w:r>
        <w:t xml:space="preserve">Practice</w:t>
      </w:r>
      <w:r>
        <w:t xml:space="preserve"> </w:t>
      </w:r>
      <w:r>
        <w:t xml:space="preserve">in</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t xml:space="preserve">Professional Competency Assessment for Clinical Dietitian Services</w:t>
      </w:r>
    </w:p>
    <w:bookmarkEnd w:id="20"/>
    <w:p>
      <w:pPr>
        <w:pStyle w:val="BodyText"/>
      </w:pPr>
      <w:r>
        <w:rPr>
          <w:bCs/>
          <w:b/>
        </w:rPr>
        <w:t xml:space="preserve">Subject:</w:t>
      </w:r>
      <w:r>
        <w:t xml:space="preserve"> </w:t>
      </w:r>
      <w:r>
        <w:t xml:space="preserve">Clinical Dietitian Practice Review</w:t>
      </w:r>
    </w:p>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Indonesia Jakarta (Central Business District)</w:t>
      </w:r>
    </w:p>
    <w:p>
      <w:pPr>
        <w:pStyle w:val="BodyText"/>
      </w:pPr>
      <w:r>
        <w:rPr>
          <w:bCs/>
          <w:b/>
        </w:rPr>
        <w:t xml:space="preserve">Reviewing Body:</w:t>
      </w:r>
      <w:r>
        <w:t xml:space="preserve"> </w:t>
      </w:r>
      <w:r>
        <w:t xml:space="preserve">Jakarta Nutritionist &amp; Dietitian Association Panel</w:t>
      </w:r>
    </w:p>
    <w:p>
      <w:pPr>
        <w:pStyle w:val="BodyText"/>
      </w:pPr>
      <w:r>
        <w:rPr>
          <w:bCs/>
          <w:b/>
        </w:rPr>
        <w:t xml:space="preserve">Review Type:</w:t>
      </w:r>
      <w:r>
        <w:t xml:space="preserve"> </w:t>
      </w:r>
      <w:r>
        <w:t xml:space="preserve">Annual Clinical Competency Audit</w:t>
      </w:r>
    </w:p>
    <w:p>
      <w:pPr>
        <w:pStyle w:val="BodyText"/>
      </w:pPr>
      <w:r>
        <w:rPr>
          <w:bCs/>
          <w:b/>
        </w:rPr>
        <w:t xml:space="preserve">Reference Standard:</w:t>
      </w:r>
      <w:r>
        <w:t xml:space="preserve"> </w:t>
      </w:r>
      <w:r>
        <w:t xml:space="preserve">Indonesian Dietitian Law (UU No. 18/2019)</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documents the comprehensive evaluation of clinical practices, patient management strategies, and professional adherence to ethical standards conducted by a registered</w:t>
      </w:r>
      <w:r>
        <w:t xml:space="preserve"> </w:t>
      </w:r>
      <w:r>
        <w:rPr>
          <w:bCs/>
          <w:b/>
        </w:rPr>
        <w:t xml:space="preserve">Dietitian</w:t>
      </w:r>
      <w:r>
        <w:t xml:space="preserve"> </w:t>
      </w:r>
      <w:r>
        <w:t xml:space="preserve">operating within the healthcare infrastructure of</w:t>
      </w:r>
      <w:r>
        <w:t xml:space="preserve"> </w:t>
      </w:r>
      <w:r>
        <w:rPr>
          <w:bCs/>
          <w:b/>
        </w:rPr>
        <w:t xml:space="preserve">Indonesia Jakarta</w:t>
      </w:r>
      <w:r>
        <w:t xml:space="preserve">. The primary objective of this review is to ensure that the nutritional care provided aligns with the rigorous standards set by the Indonesian Dietitian Association (IDI) and the Ministry of Health of the Republic of Indonesia.</w:t>
      </w:r>
    </w:p>
    <w:p>
      <w:pPr>
        <w:pStyle w:val="BodyText"/>
      </w:pPr>
      <w:r>
        <w:t xml:space="preserve">The review focuses on the specific challenges and opportunities presented by the urban environment of Jakarta, including the rising prevalence of metabolic syndrome, the integration of local dietary habits into clinical plans, and the high-volume patient load typical of major hospitals in the capital. The findings indicate a high level of professional competence, with specific recommendations for enhancing cultural competency and digital health integration.</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encompasses a six-month period of clinical activity. The methodology involved a multi-faceted approach, including:</w:t>
      </w:r>
    </w:p>
    <w:p>
      <w:pPr>
        <w:numPr>
          <w:ilvl w:val="0"/>
          <w:numId w:val="1001"/>
        </w:numPr>
        <w:pStyle w:val="Compact"/>
      </w:pPr>
      <w:r>
        <w:rPr>
          <w:bCs/>
          <w:b/>
        </w:rPr>
        <w:t xml:space="preserve">Case File Audits:</w:t>
      </w:r>
      <w:r>
        <w:t xml:space="preserve"> </w:t>
      </w:r>
      <w:r>
        <w:t xml:space="preserve">Random sampling of 50 patient records to assess the accuracy of nutritional assessments and the appropriateness of dietary prescriptions.</w:t>
      </w:r>
    </w:p>
    <w:p>
      <w:pPr>
        <w:numPr>
          <w:ilvl w:val="0"/>
          <w:numId w:val="1001"/>
        </w:numPr>
        <w:pStyle w:val="Compact"/>
      </w:pPr>
      <w:r>
        <w:rPr>
          <w:bCs/>
          <w:b/>
        </w:rPr>
        <w:t xml:space="preserve">Direct Observation:</w:t>
      </w:r>
      <w:r>
        <w:t xml:space="preserve"> </w:t>
      </w:r>
      <w:r>
        <w:t xml:space="preserve">Observation of patient consultations to evaluate communication skills and patient education techniques.</w:t>
      </w:r>
    </w:p>
    <w:p>
      <w:pPr>
        <w:numPr>
          <w:ilvl w:val="0"/>
          <w:numId w:val="1001"/>
        </w:numPr>
        <w:pStyle w:val="Compact"/>
      </w:pPr>
      <w:r>
        <w:rPr>
          <w:bCs/>
          <w:b/>
        </w:rPr>
        <w:t xml:space="preserve">Regulatory Compliance Check:</w:t>
      </w:r>
      <w:r>
        <w:t xml:space="preserve"> </w:t>
      </w:r>
      <w:r>
        <w:t xml:space="preserve">Verification of adherence to the Code of Ethics for Dietitians in Indonesia.</w:t>
      </w:r>
    </w:p>
    <w:p>
      <w:pPr>
        <w:numPr>
          <w:ilvl w:val="0"/>
          <w:numId w:val="1001"/>
        </w:numPr>
        <w:pStyle w:val="Compact"/>
      </w:pPr>
      <w:r>
        <w:rPr>
          <w:bCs/>
          <w:b/>
        </w:rPr>
        <w:t xml:space="preserve">Contextual Analysis:</w:t>
      </w:r>
      <w:r>
        <w:t xml:space="preserve"> </w:t>
      </w:r>
      <w:r>
        <w:t xml:space="preserve">Evaluation of how the</w:t>
      </w:r>
      <w:r>
        <w:t xml:space="preserve"> </w:t>
      </w:r>
      <w:r>
        <w:rPr>
          <w:bCs/>
          <w:b/>
        </w:rPr>
        <w:t xml:space="preserve">Dietitian</w:t>
      </w:r>
      <w:r>
        <w:t xml:space="preserve"> </w:t>
      </w:r>
      <w:r>
        <w:t xml:space="preserve">adapts clinical guidelines to the specific socio-economic and cultural context of</w:t>
      </w:r>
      <w:r>
        <w:t xml:space="preserve"> </w:t>
      </w:r>
      <w:r>
        <w:rPr>
          <w:bCs/>
          <w:b/>
        </w:rPr>
        <w:t xml:space="preserve">Indonesia Jakarta</w:t>
      </w:r>
      <w:r>
        <w:t xml:space="preserve">.</w:t>
      </w:r>
    </w:p>
    <w:bookmarkEnd w:id="22"/>
    <w:bookmarkStart w:id="23" w:name="Xfef92e5040fe9e17a28ab68427008f52748aecd"/>
    <w:p>
      <w:pPr>
        <w:pStyle w:val="Heading2"/>
      </w:pPr>
      <w:r>
        <w:t xml:space="preserve">3. Clinical Competency and Nutritional Assessment</w:t>
      </w:r>
    </w:p>
    <w:p>
      <w:pPr>
        <w:pStyle w:val="FirstParagraph"/>
      </w:pPr>
      <w:r>
        <w:t xml:space="preserve">The</w:t>
      </w:r>
      <w:r>
        <w:t xml:space="preserve"> </w:t>
      </w:r>
      <w:r>
        <w:rPr>
          <w:bCs/>
          <w:b/>
        </w:rPr>
        <w:t xml:space="preserve">Dietitian</w:t>
      </w:r>
      <w:r>
        <w:t xml:space="preserve"> </w:t>
      </w:r>
      <w:r>
        <w:t xml:space="preserve">under review demonstrated exceptional proficiency in conducting comprehensive nutritional assessments. In the context of</w:t>
      </w:r>
      <w:r>
        <w:t xml:space="preserve"> </w:t>
      </w:r>
      <w:r>
        <w:rPr>
          <w:bCs/>
          <w:b/>
        </w:rPr>
        <w:t xml:space="preserve">Indonesia Jakarta</w:t>
      </w:r>
      <w:r>
        <w:t xml:space="preserve">, where patients often present with complex comorbidities such as diabetes mellitus type 2, hypertension, and obesity, the ability to perform accurate anthropometric measurements and biochemical interpretation is critical.</w:t>
      </w:r>
    </w:p>
    <w:p>
      <w:pPr>
        <w:pStyle w:val="BodyText"/>
      </w:pPr>
      <w:r>
        <w:t xml:space="preserve">The review found that the</w:t>
      </w:r>
      <w:r>
        <w:t xml:space="preserve"> </w:t>
      </w:r>
      <w:r>
        <w:rPr>
          <w:bCs/>
          <w:b/>
        </w:rPr>
        <w:t xml:space="preserve">Dietitian</w:t>
      </w:r>
      <w:r>
        <w:t xml:space="preserve"> </w:t>
      </w:r>
      <w:r>
        <w:t xml:space="preserve">consistently utilized the "5A" approach (Ask, Assess, Advise, Agree, Assist) effectively. Notably, the practitioner showed a deep understanding of local food composition tables. Unlike generic international guidelines, the dietary plans provided were tailored to include staple foods common in Jakarta, such as rice, tempeh, and local vegetables, ensuring that the nutritional advice was both scientifically sound and practically implementable for the local population.</w:t>
      </w:r>
    </w:p>
    <w:bookmarkEnd w:id="23"/>
    <w:bookmarkStart w:id="24" w:name="Xc23dec33ccfd8acaaca86fb7c796d34ee375c41"/>
    <w:p>
      <w:pPr>
        <w:pStyle w:val="Heading2"/>
      </w:pPr>
      <w:r>
        <w:t xml:space="preserve">4. Cultural Competency and Patient Education</w:t>
      </w:r>
    </w:p>
    <w:p>
      <w:pPr>
        <w:pStyle w:val="FirstParagraph"/>
      </w:pPr>
      <w:r>
        <w:t xml:space="preserve">A critical component of this</w:t>
      </w:r>
      <w:r>
        <w:t xml:space="preserve"> </w:t>
      </w:r>
      <w:r>
        <w:rPr>
          <w:bCs/>
          <w:b/>
        </w:rPr>
        <w:t xml:space="preserve">Peer Review Report</w:t>
      </w:r>
      <w:r>
        <w:t xml:space="preserve"> </w:t>
      </w:r>
      <w:r>
        <w:t xml:space="preserve">is the assessment of cultural sensitivity. Practicing as a</w:t>
      </w:r>
      <w:r>
        <w:t xml:space="preserve"> </w:t>
      </w:r>
      <w:r>
        <w:rPr>
          <w:bCs/>
          <w:b/>
        </w:rPr>
        <w:t xml:space="preserve">Dietitian</w:t>
      </w:r>
      <w:r>
        <w:t xml:space="preserve"> </w:t>
      </w:r>
      <w:r>
        <w:t xml:space="preserve">in</w:t>
      </w:r>
      <w:r>
        <w:t xml:space="preserve"> </w:t>
      </w:r>
      <w:r>
        <w:rPr>
          <w:bCs/>
          <w:b/>
        </w:rPr>
        <w:t xml:space="preserve">Indonesia Jakarta</w:t>
      </w:r>
      <w:r>
        <w:t xml:space="preserve"> </w:t>
      </w:r>
      <w:r>
        <w:t xml:space="preserve">requires navigating a diverse cultural landscape. The review highlights the practitioner's success in integrating religious considerations, particularly regarding Halal dietary requirements and fasting practices during Ramadan, into clinical nutrition therapy.</w:t>
      </w:r>
    </w:p>
    <w:p>
      <w:pPr>
        <w:pStyle w:val="BodyText"/>
      </w:pPr>
      <w:r>
        <w:t xml:space="preserve">The</w:t>
      </w:r>
      <w:r>
        <w:t xml:space="preserve"> </w:t>
      </w:r>
      <w:r>
        <w:rPr>
          <w:bCs/>
          <w:b/>
        </w:rPr>
        <w:t xml:space="preserve">Dietitian</w:t>
      </w:r>
      <w:r>
        <w:t xml:space="preserve"> </w:t>
      </w:r>
      <w:r>
        <w:t xml:space="preserve">was observed effectively communicating with patients from various socio-economic backgrounds found in Jakarta. The use of clear, non-jargon language in Bahasa Indonesia, supplemented by visual aids, ensured that patients with lower health literacy levels could understand and adhere to their dietary regimens. This adaptability is essential for improving health outcomes in a rapidly urbanizing environment like Jakarta.</w:t>
      </w:r>
    </w:p>
    <w:bookmarkEnd w:id="24"/>
    <w:bookmarkStart w:id="25" w:name="interdisciplinary-collaboration"/>
    <w:p>
      <w:pPr>
        <w:pStyle w:val="Heading2"/>
      </w:pPr>
      <w:r>
        <w:t xml:space="preserve">5. Interdisciplinary Collaboration</w:t>
      </w:r>
    </w:p>
    <w:p>
      <w:pPr>
        <w:pStyle w:val="FirstParagraph"/>
      </w:pPr>
      <w:r>
        <w:t xml:space="preserve">Effective healthcare in major hospitals in</w:t>
      </w:r>
      <w:r>
        <w:t xml:space="preserve"> </w:t>
      </w:r>
      <w:r>
        <w:rPr>
          <w:bCs/>
          <w:b/>
        </w:rPr>
        <w:t xml:space="preserve">Indonesia Jakarta</w:t>
      </w:r>
      <w:r>
        <w:t xml:space="preserve"> </w:t>
      </w:r>
      <w:r>
        <w:t xml:space="preserve">relies heavily on teamwork. This</w:t>
      </w:r>
      <w:r>
        <w:t xml:space="preserve"> </w:t>
      </w:r>
      <w:r>
        <w:rPr>
          <w:bCs/>
          <w:b/>
        </w:rPr>
        <w:t xml:space="preserve">Peer Review Report</w:t>
      </w:r>
      <w:r>
        <w:t xml:space="preserve"> </w:t>
      </w:r>
      <w:r>
        <w:t xml:space="preserve">confirms that the</w:t>
      </w:r>
      <w:r>
        <w:t xml:space="preserve"> </w:t>
      </w:r>
      <w:r>
        <w:rPr>
          <w:bCs/>
          <w:b/>
        </w:rPr>
        <w:t xml:space="preserve">Dietitian</w:t>
      </w:r>
      <w:r>
        <w:t xml:space="preserve"> </w:t>
      </w:r>
      <w:r>
        <w:t xml:space="preserve">actively collaborates with physicians, nurses, and pharmacists. The review noted several instances where the</w:t>
      </w:r>
      <w:r>
        <w:t xml:space="preserve"> </w:t>
      </w:r>
      <w:r>
        <w:rPr>
          <w:bCs/>
          <w:b/>
        </w:rPr>
        <w:t xml:space="preserve">Dietitian</w:t>
      </w:r>
      <w:r>
        <w:t xml:space="preserve"> </w:t>
      </w:r>
      <w:r>
        <w:t xml:space="preserve">provided crucial input on medication-nutrient interactions, particularly for patients on insulin or antihypertensive drugs, thereby preventing adverse events and optimizing therapeutic outcomes.</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is rated as excellent, this</w:t>
      </w:r>
      <w:r>
        <w:t xml:space="preserve"> </w:t>
      </w:r>
      <w:r>
        <w:rPr>
          <w:bCs/>
          <w:b/>
        </w:rPr>
        <w:t xml:space="preserve">Peer Review Report</w:t>
      </w:r>
      <w:r>
        <w:t xml:space="preserve"> </w:t>
      </w:r>
      <w:r>
        <w:t xml:space="preserve">identifies areas for continuous professional development:</w:t>
      </w:r>
    </w:p>
    <w:p>
      <w:pPr>
        <w:numPr>
          <w:ilvl w:val="0"/>
          <w:numId w:val="1002"/>
        </w:numPr>
        <w:pStyle w:val="Compact"/>
      </w:pPr>
      <w:r>
        <w:rPr>
          <w:bCs/>
          <w:b/>
        </w:rPr>
        <w:t xml:space="preserve">Digital Health Integration:</w:t>
      </w:r>
      <w:r>
        <w:t xml:space="preserve"> </w:t>
      </w:r>
      <w:r>
        <w:t xml:space="preserve">Given the tech-savvy nature of many residents in</w:t>
      </w:r>
      <w:r>
        <w:t xml:space="preserve"> </w:t>
      </w:r>
      <w:r>
        <w:rPr>
          <w:bCs/>
          <w:b/>
        </w:rPr>
        <w:t xml:space="preserve">Indonesia Jakarta</w:t>
      </w:r>
      <w:r>
        <w:t xml:space="preserve">, the</w:t>
      </w:r>
      <w:r>
        <w:t xml:space="preserve"> </w:t>
      </w:r>
      <w:r>
        <w:rPr>
          <w:bCs/>
          <w:b/>
        </w:rPr>
        <w:t xml:space="preserve">Dietitian</w:t>
      </w:r>
      <w:r>
        <w:t xml:space="preserve"> </w:t>
      </w:r>
      <w:r>
        <w:t xml:space="preserve">is encouraged to adopt more digital tools for patient monitoring, such as mobile applications for food logging and remote consultation platforms.</w:t>
      </w:r>
    </w:p>
    <w:p>
      <w:pPr>
        <w:numPr>
          <w:ilvl w:val="0"/>
          <w:numId w:val="1002"/>
        </w:numPr>
        <w:pStyle w:val="Compact"/>
      </w:pPr>
      <w:r>
        <w:rPr>
          <w:bCs/>
          <w:b/>
        </w:rPr>
        <w:t xml:space="preserve">Documentation Standardization:</w:t>
      </w:r>
      <w:r>
        <w:t xml:space="preserve"> </w:t>
      </w:r>
      <w:r>
        <w:t xml:space="preserve">While clinical notes are thorough, further alignment with the latest electronic medical record (EMR) standards mandated by Jakarta's health authorities is recommended to ensure seamless data interoperability.</w:t>
      </w:r>
    </w:p>
    <w:p>
      <w:pPr>
        <w:numPr>
          <w:ilvl w:val="0"/>
          <w:numId w:val="1002"/>
        </w:numPr>
        <w:pStyle w:val="Compact"/>
      </w:pPr>
      <w:r>
        <w:rPr>
          <w:bCs/>
          <w:b/>
        </w:rPr>
        <w:t xml:space="preserve">Community Outreach:</w:t>
      </w:r>
      <w:r>
        <w:t xml:space="preserve"> </w:t>
      </w:r>
      <w:r>
        <w:t xml:space="preserve">The</w:t>
      </w:r>
      <w:r>
        <w:t xml:space="preserve"> </w:t>
      </w:r>
      <w:r>
        <w:rPr>
          <w:bCs/>
          <w:b/>
        </w:rPr>
        <w:t xml:space="preserve">Dietitian</w:t>
      </w:r>
      <w:r>
        <w:t xml:space="preserve"> </w:t>
      </w:r>
      <w:r>
        <w:t xml:space="preserve">is encouraged to expand community-based interventions to address the root causes of malnutrition and lifestyle diseases in Jakarta's urban periphery.</w:t>
      </w:r>
    </w:p>
    <w:p>
      <w:pPr>
        <w:pStyle w:val="FirstParagraph"/>
      </w:pPr>
      <w:r>
        <w:rPr>
          <w:bCs/>
          <w:b/>
        </w:rPr>
        <w:t xml:space="preserve">Conclusion:</w:t>
      </w:r>
      <w:r>
        <w:t xml:space="preserve"> </w:t>
      </w:r>
      <w:r>
        <w:t xml:space="preserve">The</w:t>
      </w:r>
      <w:r>
        <w:t xml:space="preserve"> </w:t>
      </w:r>
      <w:r>
        <w:rPr>
          <w:bCs/>
          <w:b/>
        </w:rPr>
        <w:t xml:space="preserve">Dietitian</w:t>
      </w:r>
      <w:r>
        <w:t xml:space="preserve"> </w:t>
      </w:r>
      <w:r>
        <w:t xml:space="preserve">has demonstrated a high standard of professional practice, fully compliant with the regulations governing dietetic services in</w:t>
      </w:r>
      <w:r>
        <w:t xml:space="preserve"> </w:t>
      </w:r>
      <w:r>
        <w:rPr>
          <w:bCs/>
          <w:b/>
        </w:rPr>
        <w:t xml:space="preserve">Indonesia Jakarta</w:t>
      </w:r>
      <w:r>
        <w:t xml:space="preserve">. The commitment to culturally relevant care and evidence-based practice makes this professional a valuable asset to the healthcare system.</w:t>
      </w:r>
    </w:p>
    <w:bookmarkEnd w:id="26"/>
    <w:bookmarkStart w:id="27" w:name="final-determination"/>
    <w:p>
      <w:pPr>
        <w:pStyle w:val="Heading2"/>
      </w:pPr>
      <w:r>
        <w:t xml:space="preserve">7. Final Determination</w:t>
      </w:r>
    </w:p>
    <w:p>
      <w:pPr>
        <w:pStyle w:val="FirstParagraph"/>
      </w:pPr>
      <w:r>
        <w:t xml:space="preserve">Based on the evidence gathered and analyzed in this</w:t>
      </w:r>
      <w:r>
        <w:t xml:space="preserve"> </w:t>
      </w:r>
      <w:r>
        <w:rPr>
          <w:bCs/>
          <w:b/>
        </w:rPr>
        <w:t xml:space="preserve">Peer Review Report</w:t>
      </w:r>
      <w:r>
        <w:t xml:space="preserve">, the reviewing panel grants the</w:t>
      </w:r>
      <w:r>
        <w:t xml:space="preserve"> </w:t>
      </w:r>
      <w:r>
        <w:rPr>
          <w:bCs/>
          <w:b/>
        </w:rPr>
        <w:t xml:space="preserve">Dietitian</w:t>
      </w:r>
      <w:r>
        <w:t xml:space="preserve"> </w:t>
      </w:r>
      <w:r>
        <w:t xml:space="preserve">a status of</w:t>
      </w:r>
      <w:r>
        <w:t xml:space="preserve"> </w:t>
      </w:r>
      <w:r>
        <w:rPr>
          <w:bCs/>
          <w:b/>
        </w:rPr>
        <w:t xml:space="preserve">Full Competency</w:t>
      </w:r>
      <w:r>
        <w:t xml:space="preserve"> </w:t>
      </w:r>
      <w:r>
        <w:t xml:space="preserve">for the upcoming review cycle. The practitioner is authorized to continue providing clinical nutrition services in</w:t>
      </w:r>
      <w:r>
        <w:t xml:space="preserve"> </w:t>
      </w:r>
      <w:r>
        <w:rPr>
          <w:bCs/>
          <w:b/>
        </w:rPr>
        <w:t xml:space="preserve">Indonesia Jakarta</w:t>
      </w:r>
      <w:r>
        <w:t xml:space="preserve"> </w:t>
      </w:r>
      <w:r>
        <w:t xml:space="preserve">without restriction, subject to the implementation of the recommended improvements.</w:t>
      </w:r>
    </w:p>
    <w:p>
      <w:pPr>
        <w:pStyle w:val="BodyText"/>
      </w:pPr>
      <w:r>
        <w:t xml:space="preserve">Reviewed By:</w:t>
      </w:r>
    </w:p>
    <w:p>
      <w:pPr>
        <w:pStyle w:val="BodyText"/>
      </w:pPr>
      <w:r>
        <w:t xml:space="preserve">Dr. Sarah Wijaya, M.Nut</w:t>
      </w:r>
    </w:p>
    <w:p>
      <w:pPr>
        <w:pStyle w:val="BodyText"/>
      </w:pPr>
      <w:r>
        <w:t xml:space="preserve">Senior Peer Reviewer</w:t>
      </w:r>
      <w:r>
        <w:br/>
      </w:r>
      <w:r>
        <w:t xml:space="preserve">IDI Jakarta Chapter</w:t>
      </w:r>
    </w:p>
    <w:p>
      <w:pPr>
        <w:pStyle w:val="BodyText"/>
      </w:pPr>
      <w:r>
        <w:t xml:space="preserve">Approved By:</w:t>
      </w:r>
    </w:p>
    <w:p>
      <w:pPr>
        <w:pStyle w:val="BodyText"/>
      </w:pPr>
      <w:r>
        <w:t xml:space="preserve">Prof. Budi Santoso, Sp.GK</w:t>
      </w:r>
    </w:p>
    <w:p>
      <w:pPr>
        <w:pStyle w:val="BodyText"/>
      </w:pPr>
      <w:r>
        <w:t xml:space="preserve">Head of Clinical Nutrition</w:t>
      </w:r>
      <w:r>
        <w:br/>
      </w:r>
      <w:r>
        <w:t xml:space="preserve">Jakarta Central Hospital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Clinical Dietitian Practice in Indonesia Jakarta</dc:title>
  <dc:creator/>
  <dc:language>en</dc:language>
  <cp:keywords/>
  <dcterms:created xsi:type="dcterms:W3CDTF">2026-10-10T08:10:11Z</dcterms:created>
  <dcterms:modified xsi:type="dcterms:W3CDTF">2026-10-10T08:10:11Z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