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Dietitian</w:t>
      </w:r>
      <w:r>
        <w:t xml:space="preserve"> </w:t>
      </w:r>
      <w:r>
        <w:t xml:space="preserve">Practice</w:t>
      </w:r>
      <w:r>
        <w:t xml:space="preserve"> </w:t>
      </w:r>
      <w:r>
        <w:t xml:space="preserve">in</w:t>
      </w:r>
      <w:r>
        <w:t xml:space="preserve"> </w:t>
      </w:r>
      <w:r>
        <w:t xml:space="preserve">Tehran,</w:t>
      </w:r>
      <w:r>
        <w:t xml:space="preserve"> </w:t>
      </w:r>
      <w:r>
        <w:t xml:space="preserve">Iran</w:t>
      </w:r>
    </w:p>
    <w:bookmarkStart w:id="20" w:name="peer-review-report"/>
    <w:p>
      <w:pPr>
        <w:pStyle w:val="Heading1"/>
      </w:pPr>
      <w:r>
        <w:t xml:space="preserve">Peer Review Report</w:t>
      </w:r>
    </w:p>
    <w:p>
      <w:pPr>
        <w:pStyle w:val="FirstParagraph"/>
      </w:pPr>
      <w:r>
        <w:t xml:space="preserve">Clinical Dietitian Performance Evaluation</w:t>
      </w:r>
    </w:p>
    <w:p>
      <w:pPr>
        <w:pStyle w:val="BodyText"/>
      </w:pPr>
      <w:r>
        <w:t xml:space="preserve">Review Date:</w:t>
      </w:r>
      <w:r>
        <w:t xml:space="preserve"> </w:t>
      </w:r>
      <w:r>
        <w:t xml:space="preserve">October 24, 2023</w:t>
      </w:r>
    </w:p>
    <w:p>
      <w:pPr>
        <w:pStyle w:val="BodyText"/>
      </w:pPr>
      <w:r>
        <w:t xml:space="preserve">Location:</w:t>
      </w:r>
      <w:r>
        <w:t xml:space="preserve"> </w:t>
      </w:r>
      <w:r>
        <w:t xml:space="preserve">Tehran, Iran</w:t>
      </w:r>
    </w:p>
    <w:p>
      <w:pPr>
        <w:pStyle w:val="BodyText"/>
      </w:pPr>
      <w:r>
        <w:t xml:space="preserve">Review Type:</w:t>
      </w:r>
      <w:r>
        <w:t xml:space="preserve"> </w:t>
      </w:r>
      <w:r>
        <w:t xml:space="preserve">Annual Clinical Competency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prepared to evaluate the clinical practice, professional conduct, and patient care standards of a registered</w:t>
      </w:r>
      <w:r>
        <w:t xml:space="preserve"> </w:t>
      </w:r>
      <w:r>
        <w:rPr>
          <w:bCs/>
          <w:b/>
        </w:rPr>
        <w:t xml:space="preserve">Dietitian</w:t>
      </w:r>
      <w:r>
        <w:t xml:space="preserve"> </w:t>
      </w:r>
      <w:r>
        <w:t xml:space="preserve">operating within the healthcare system of</w:t>
      </w:r>
      <w:r>
        <w:t xml:space="preserve"> </w:t>
      </w:r>
      <w:r>
        <w:rPr>
          <w:bCs/>
          <w:b/>
        </w:rPr>
        <w:t xml:space="preserve">Tehran, Iran</w:t>
      </w:r>
      <w:r>
        <w:t xml:space="preserve">. The review process adheres to the guidelines established by the Iranian Ministry of Health and Medical Education and aligns with international standards for nutritional therapy. The primary objective is to ensure that the dietitian maintains the highest level of clinical excellence, cultural competence, and ethical responsibility while serving the diverse population of Tehran.</w:t>
      </w:r>
    </w:p>
    <w:p>
      <w:pPr>
        <w:pStyle w:val="BodyText"/>
      </w:pPr>
      <w:r>
        <w:t xml:space="preserve">The evaluation covers a twelve-month period and includes an analysis of patient records, adherence to clinical protocols, interdisciplinary collaboration, and continuing professional development. The findings indicate a generally high standard of practice, with specific areas identified for enhancement to better address the unique nutritional challenges prevalent in the region.</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the dietitian's work in outpatient clinical nutrition, specifically focusing on metabolic disorders such as type 2 diabetes, hypertension, and obesity, which are of significant public health concern in</w:t>
      </w:r>
      <w:r>
        <w:t xml:space="preserve"> </w:t>
      </w:r>
      <w:r>
        <w:rPr>
          <w:bCs/>
          <w:b/>
        </w:rPr>
        <w:t xml:space="preserve">Tehran, Iran</w:t>
      </w:r>
      <w:r>
        <w:t xml:space="preserve">. The methodology involved:</w:t>
      </w:r>
    </w:p>
    <w:p>
      <w:pPr>
        <w:numPr>
          <w:ilvl w:val="0"/>
          <w:numId w:val="1001"/>
        </w:numPr>
        <w:pStyle w:val="Compact"/>
      </w:pPr>
      <w:r>
        <w:t xml:space="preserve">Audit of 50 randomly selected patient case files.</w:t>
      </w:r>
    </w:p>
    <w:p>
      <w:pPr>
        <w:numPr>
          <w:ilvl w:val="0"/>
          <w:numId w:val="1001"/>
        </w:numPr>
        <w:pStyle w:val="Compact"/>
      </w:pPr>
      <w:r>
        <w:t xml:space="preserve">Direct observation of patient consultations.</w:t>
      </w:r>
    </w:p>
    <w:p>
      <w:pPr>
        <w:numPr>
          <w:ilvl w:val="0"/>
          <w:numId w:val="1001"/>
        </w:numPr>
        <w:pStyle w:val="Compact"/>
      </w:pPr>
      <w:r>
        <w:t xml:space="preserve">Interviews with referring physicians and nursing staff.</w:t>
      </w:r>
    </w:p>
    <w:p>
      <w:pPr>
        <w:numPr>
          <w:ilvl w:val="0"/>
          <w:numId w:val="1001"/>
        </w:numPr>
        <w:pStyle w:val="Compact"/>
      </w:pPr>
      <w:r>
        <w:t xml:space="preserve">Review of the dietitian's adherence to the Iranian Food-Based Dietary Guidelines.</w:t>
      </w:r>
    </w:p>
    <w:p>
      <w:pPr>
        <w:pStyle w:val="FirstParagraph"/>
      </w:pPr>
      <w:r>
        <w:t xml:space="preserve">The review panel consisted of three senior clinical nutritionists and one medical doctor specializing in endocrinology, all practicing in major hospitals in Tehran.</w:t>
      </w:r>
    </w:p>
    <w:bookmarkEnd w:id="22"/>
    <w:bookmarkStart w:id="26" w:name="clinical-competence-and-patient-care"/>
    <w:p>
      <w:pPr>
        <w:pStyle w:val="Heading2"/>
      </w:pPr>
      <w:r>
        <w:t xml:space="preserve">3. Clinical Competence and Patient Care</w:t>
      </w:r>
    </w:p>
    <w:bookmarkStart w:id="23" w:name="assessment-and-diagnosis"/>
    <w:p>
      <w:pPr>
        <w:pStyle w:val="Heading3"/>
      </w:pPr>
      <w:r>
        <w:t xml:space="preserve">3.1 Assessment and Diagnosis</w:t>
      </w:r>
    </w:p>
    <w:p>
      <w:pPr>
        <w:pStyle w:val="FirstParagraph"/>
      </w:pPr>
      <w:r>
        <w:t xml:space="preserve">The</w:t>
      </w:r>
      <w:r>
        <w:t xml:space="preserve"> </w:t>
      </w:r>
      <w:r>
        <w:rPr>
          <w:bCs/>
          <w:b/>
        </w:rPr>
        <w:t xml:space="preserve">Dietitian</w:t>
      </w:r>
      <w:r>
        <w:t xml:space="preserve"> </w:t>
      </w:r>
      <w:r>
        <w:t xml:space="preserve">demonstrated strong competency in conducting comprehensive nutritional assessments. The review found that anthropometric measurements, biochemical data interpretation, and dietary history collection were performed accurately and consistently. The dietitian effectively utilized local reference data relevant to Iranian populations, ensuring that assessments were culturally and biologically appropriate.</w:t>
      </w:r>
    </w:p>
    <w:bookmarkEnd w:id="23"/>
    <w:bookmarkStart w:id="24" w:name="intervention-and-planning"/>
    <w:p>
      <w:pPr>
        <w:pStyle w:val="Heading3"/>
      </w:pPr>
      <w:r>
        <w:t xml:space="preserve">3.2 Intervention and Planning</w:t>
      </w:r>
    </w:p>
    <w:p>
      <w:pPr>
        <w:pStyle w:val="FirstParagraph"/>
      </w:pPr>
      <w:r>
        <w:t xml:space="preserve">A key strength identified in this</w:t>
      </w:r>
      <w:r>
        <w:t xml:space="preserve"> </w:t>
      </w:r>
      <w:r>
        <w:rPr>
          <w:bCs/>
          <w:b/>
        </w:rPr>
        <w:t xml:space="preserve">Peer Review Report</w:t>
      </w:r>
      <w:r>
        <w:t xml:space="preserve"> </w:t>
      </w:r>
      <w:r>
        <w:t xml:space="preserve">is the dietitian's ability to create personalized meal plans that respect the culinary traditions of</w:t>
      </w:r>
      <w:r>
        <w:t xml:space="preserve"> </w:t>
      </w:r>
      <w:r>
        <w:rPr>
          <w:bCs/>
          <w:b/>
        </w:rPr>
        <w:t xml:space="preserve">Tehran, Iran</w:t>
      </w:r>
      <w:r>
        <w:t xml:space="preserve">. The interventions successfully incorporated traditional Iranian foods such as rice, legumes, fresh herbs, and seasonal fruits, making the dietary advice more acceptable and sustainable for patients. The dietitian showed particular skill in modifying traditional recipes to reduce sodium and saturated fat content without compromising cultural palatability.</w:t>
      </w:r>
    </w:p>
    <w:bookmarkEnd w:id="24"/>
    <w:bookmarkStart w:id="25" w:name="monitoring-and-evaluation"/>
    <w:p>
      <w:pPr>
        <w:pStyle w:val="Heading3"/>
      </w:pPr>
      <w:r>
        <w:t xml:space="preserve">3.3 Monitoring and Evaluation</w:t>
      </w:r>
    </w:p>
    <w:p>
      <w:pPr>
        <w:pStyle w:val="FirstParagraph"/>
      </w:pPr>
      <w:r>
        <w:t xml:space="preserve">Follow-up protocols were generally well-documented. However, the review noted that some patient records lacked detailed long-term outcome tracking. To improve, the dietitian should implement a more structured system for monitoring patient progress over extended periods, particularly for chronic disease management.</w:t>
      </w:r>
    </w:p>
    <w:bookmarkEnd w:id="25"/>
    <w:bookmarkEnd w:id="26"/>
    <w:bookmarkStart w:id="30" w:name="professional-practice-and-ethics"/>
    <w:p>
      <w:pPr>
        <w:pStyle w:val="Heading2"/>
      </w:pPr>
      <w:r>
        <w:t xml:space="preserve">4. Professional Practice and Ethics</w:t>
      </w:r>
    </w:p>
    <w:bookmarkStart w:id="27" w:name="adherence-to-guidelines"/>
    <w:p>
      <w:pPr>
        <w:pStyle w:val="Heading3"/>
      </w:pPr>
      <w:r>
        <w:t xml:space="preserve">4.1 Adherence to Guidelines</w:t>
      </w:r>
    </w:p>
    <w:p>
      <w:pPr>
        <w:pStyle w:val="FirstParagraph"/>
      </w:pPr>
      <w:r>
        <w:t xml:space="preserve">The</w:t>
      </w:r>
      <w:r>
        <w:t xml:space="preserve"> </w:t>
      </w:r>
      <w:r>
        <w:rPr>
          <w:bCs/>
          <w:b/>
        </w:rPr>
        <w:t xml:space="preserve">Dietitian</w:t>
      </w:r>
      <w:r>
        <w:t xml:space="preserve"> </w:t>
      </w:r>
      <w:r>
        <w:t xml:space="preserve">consistently adhered to the clinical guidelines issued by the Iranian Ministry of Health. The review confirmed that all nutritional recommendations were evidence-based and aligned with current national standards for managing non-communicable diseases.</w:t>
      </w:r>
    </w:p>
    <w:bookmarkEnd w:id="27"/>
    <w:bookmarkStart w:id="28" w:name="interdisciplinary-collaboration"/>
    <w:p>
      <w:pPr>
        <w:pStyle w:val="Heading3"/>
      </w:pPr>
      <w:r>
        <w:t xml:space="preserve">4.2 Interdisciplinary Collaboration</w:t>
      </w:r>
    </w:p>
    <w:p>
      <w:pPr>
        <w:pStyle w:val="FirstParagraph"/>
      </w:pPr>
      <w:r>
        <w:t xml:space="preserve">Effective communication with the medical team was observed. The dietitian actively participated in multidisciplinary team meetings, contributing valuable insights to patient care plans. Feedback from physicians indicated that the dietitian's recommendations were practical and well-integrated into overall treatment strategies.</w:t>
      </w:r>
    </w:p>
    <w:bookmarkEnd w:id="28"/>
    <w:bookmarkStart w:id="29" w:name="cultural-sensitivity"/>
    <w:p>
      <w:pPr>
        <w:pStyle w:val="Heading3"/>
      </w:pPr>
      <w:r>
        <w:t xml:space="preserve">4.3 Cultural Sensitivity</w:t>
      </w:r>
    </w:p>
    <w:p>
      <w:pPr>
        <w:pStyle w:val="FirstParagraph"/>
      </w:pPr>
      <w:r>
        <w:t xml:space="preserve">Given the diverse demographic of</w:t>
      </w:r>
      <w:r>
        <w:t xml:space="preserve"> </w:t>
      </w:r>
      <w:r>
        <w:rPr>
          <w:bCs/>
          <w:b/>
        </w:rPr>
        <w:t xml:space="preserve">Tehran, Iran</w:t>
      </w:r>
      <w:r>
        <w:t xml:space="preserve">, cultural sensitivity is paramount. The dietitian demonstrated excellent awareness of religious dietary laws (Halal requirements) and social eating patterns. This cultural competence was a significant factor in building trust with patients and improving adherence to dietary plans.</w:t>
      </w:r>
    </w:p>
    <w:bookmarkEnd w:id="29"/>
    <w:bookmarkEnd w:id="30"/>
    <w:bookmarkStart w:id="31" w:name="continuing-professional-development"/>
    <w:p>
      <w:pPr>
        <w:pStyle w:val="Heading2"/>
      </w:pPr>
      <w:r>
        <w:t xml:space="preserve">5. Continuing Professional Development</w:t>
      </w:r>
    </w:p>
    <w:p>
      <w:pPr>
        <w:pStyle w:val="FirstParagraph"/>
      </w:pPr>
      <w:r>
        <w:t xml:space="preserve">The</w:t>
      </w:r>
      <w:r>
        <w:t xml:space="preserve"> </w:t>
      </w:r>
      <w:r>
        <w:rPr>
          <w:bCs/>
          <w:b/>
        </w:rPr>
        <w:t xml:space="preserve">Dietitian</w:t>
      </w:r>
      <w:r>
        <w:t xml:space="preserve"> </w:t>
      </w:r>
      <w:r>
        <w:t xml:space="preserve">has actively engaged in continuing education, attending workshops and conferences related to clinical nutrition. However, this</w:t>
      </w:r>
      <w:r>
        <w:t xml:space="preserve"> </w:t>
      </w:r>
      <w:r>
        <w:rPr>
          <w:bCs/>
          <w:b/>
        </w:rPr>
        <w:t xml:space="preserve">Peer Review Report</w:t>
      </w:r>
      <w:r>
        <w:t xml:space="preserve"> </w:t>
      </w:r>
      <w:r>
        <w:t xml:space="preserve">recommends increased participation in international research and training programs to stay abreast of global advancements in nutritional science. Integrating emerging evidence into local practice will further enhance the quality of care provided in Tehran.</w:t>
      </w:r>
    </w:p>
    <w:bookmarkEnd w:id="31"/>
    <w:bookmarkStart w:id="32" w:name="areas-for-improvement"/>
    <w:p>
      <w:pPr>
        <w:pStyle w:val="Heading2"/>
      </w:pPr>
      <w:r>
        <w:t xml:space="preserve">6. Areas for Improvement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w:t>
            </w:r>
          </w:p>
        </w:tc>
        <w:tc>
          <w:tcPr/>
          <w:p>
            <w:pPr>
              <w:pStyle w:val="Compact"/>
              <w:jc w:val="left"/>
            </w:pPr>
            <w:r>
              <w:t xml:space="preserve">Observation</w:t>
            </w:r>
          </w:p>
        </w:tc>
        <w:tc>
          <w:tcPr/>
          <w:p>
            <w:pPr>
              <w:pStyle w:val="Compact"/>
              <w:jc w:val="left"/>
            </w:pPr>
            <w:r>
              <w:t xml:space="preserve">Recommendation</w:t>
            </w:r>
          </w:p>
        </w:tc>
      </w:tr>
      <w:tr>
        <w:tc>
          <w:tcPr/>
          <w:p>
            <w:pPr>
              <w:pStyle w:val="Compact"/>
              <w:jc w:val="left"/>
            </w:pPr>
            <w:r>
              <w:t xml:space="preserve">Documentation</w:t>
            </w:r>
          </w:p>
        </w:tc>
        <w:tc>
          <w:tcPr/>
          <w:p>
            <w:pPr>
              <w:pStyle w:val="Compact"/>
              <w:jc w:val="left"/>
            </w:pPr>
            <w:r>
              <w:t xml:space="preserve">Inconsistent long-term outcome tracking.</w:t>
            </w:r>
          </w:p>
        </w:tc>
        <w:tc>
          <w:tcPr/>
          <w:p>
            <w:pPr>
              <w:pStyle w:val="Compact"/>
              <w:jc w:val="left"/>
            </w:pPr>
            <w:r>
              <w:t xml:space="preserve">Implement a standardized follow-up template for chronic patients.</w:t>
            </w:r>
          </w:p>
        </w:tc>
      </w:tr>
      <w:tr>
        <w:tc>
          <w:tcPr/>
          <w:p>
            <w:pPr>
              <w:pStyle w:val="Compact"/>
              <w:jc w:val="left"/>
            </w:pPr>
            <w:r>
              <w:t xml:space="preserve">Technology Use</w:t>
            </w:r>
          </w:p>
        </w:tc>
        <w:tc>
          <w:tcPr/>
          <w:p>
            <w:pPr>
              <w:pStyle w:val="Compact"/>
              <w:jc w:val="left"/>
            </w:pPr>
            <w:r>
              <w:t xml:space="preserve">Limited use of digital nutrition tools.</w:t>
            </w:r>
          </w:p>
        </w:tc>
        <w:tc>
          <w:tcPr/>
          <w:p>
            <w:pPr>
              <w:pStyle w:val="Compact"/>
              <w:jc w:val="left"/>
            </w:pPr>
            <w:r>
              <w:t xml:space="preserve">Adopt mobile health applications popular in Iran for patient monitoring.</w:t>
            </w:r>
          </w:p>
        </w:tc>
      </w:tr>
      <w:tr>
        <w:tc>
          <w:tcPr/>
          <w:p>
            <w:pPr>
              <w:pStyle w:val="Compact"/>
              <w:jc w:val="left"/>
            </w:pPr>
            <w:r>
              <w:t xml:space="preserve">Research</w:t>
            </w:r>
          </w:p>
        </w:tc>
        <w:tc>
          <w:tcPr/>
          <w:p>
            <w:pPr>
              <w:pStyle w:val="Compact"/>
              <w:jc w:val="left"/>
            </w:pPr>
            <w:r>
              <w:t xml:space="preserve">Low involvement in clinical research.</w:t>
            </w:r>
          </w:p>
        </w:tc>
        <w:tc>
          <w:tcPr/>
          <w:p>
            <w:pPr>
              <w:pStyle w:val="Compact"/>
              <w:jc w:val="left"/>
            </w:pPr>
            <w:r>
              <w:t xml:space="preserve">Collaborate with academic institutions in Tehran on nutrition studies.</w:t>
            </w:r>
          </w:p>
        </w:tc>
      </w:tr>
    </w:tbl>
    <w:bookmarkEnd w:id="32"/>
    <w:bookmarkStart w:id="33" w:name="final-recommendation"/>
    <w:p>
      <w:pPr>
        <w:pStyle w:val="Heading3"/>
      </w:pPr>
      <w:r>
        <w:t xml:space="preserve">7. Final Recommendation</w:t>
      </w:r>
    </w:p>
    <w:p>
      <w:pPr>
        <w:pStyle w:val="FirstParagraph"/>
      </w:pPr>
      <w:r>
        <w:t xml:space="preserve">Based on the comprehensive evaluation conducted in this</w:t>
      </w:r>
      <w:r>
        <w:t xml:space="preserve"> </w:t>
      </w:r>
      <w:r>
        <w:rPr>
          <w:bCs/>
          <w:b/>
        </w:rPr>
        <w:t xml:space="preserve">Peer Review Report</w:t>
      </w:r>
      <w:r>
        <w:t xml:space="preserve">, the</w:t>
      </w:r>
      <w:r>
        <w:t xml:space="preserve"> </w:t>
      </w:r>
      <w:r>
        <w:rPr>
          <w:bCs/>
          <w:b/>
        </w:rPr>
        <w:t xml:space="preserve">Dietitian</w:t>
      </w:r>
      <w:r>
        <w:t xml:space="preserve"> </w:t>
      </w:r>
      <w:r>
        <w:t xml:space="preserve">is deemed to be practicing at a competent and professional level. The dietitian's ability to integrate evidence-based nutrition with the cultural context of</w:t>
      </w:r>
      <w:r>
        <w:t xml:space="preserve"> </w:t>
      </w:r>
      <w:r>
        <w:rPr>
          <w:bCs/>
          <w:b/>
        </w:rPr>
        <w:t xml:space="preserve">Tehran, Iran</w:t>
      </w:r>
      <w:r>
        <w:t xml:space="preserve"> </w:t>
      </w:r>
      <w:r>
        <w:t xml:space="preserve">is a significant asset to the healthcare team.</w:t>
      </w:r>
    </w:p>
    <w:p>
      <w:pPr>
        <w:pStyle w:val="BodyText"/>
      </w:pPr>
      <w:r>
        <w:rPr>
          <w:bCs/>
          <w:b/>
        </w:rPr>
        <w:t xml:space="preserve">Decision:</w:t>
      </w:r>
      <w:r>
        <w:t xml:space="preserve"> </w:t>
      </w:r>
      <w:r>
        <w:rPr>
          <w:iCs/>
          <w:i/>
        </w:rPr>
        <w:t xml:space="preserve">Approved for Continued Practice</w:t>
      </w:r>
      <w:r>
        <w:t xml:space="preserve"> </w:t>
      </w:r>
      <w:r>
        <w:t xml:space="preserve">with a requirement to address the identified areas for improvement within the next six months. A follow-up review is recommended to assess progress in documentation and technology integration.</w:t>
      </w:r>
    </w:p>
    <w:bookmarkEnd w:id="33"/>
    <w:p>
      <w:pPr>
        <w:pStyle w:val="BodyText"/>
      </w:pPr>
      <w:r>
        <w:t xml:space="preserve">This document is confidential and intended solely for the use of the named dietitian and the reviewing institution.</w:t>
      </w:r>
      <w:r>
        <w:br/>
      </w:r>
      <w:r>
        <w:t xml:space="preserve">Prepared in accordance with the standards of the Iranian Dietitians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Dietitian Practice in Tehran, Iran</dc:title>
  <dc:creator/>
  <dc:language>en</dc:language>
  <cp:keywords/>
  <dcterms:created xsi:type="dcterms:W3CDTF">2026-10-10T04:23:52Z</dcterms:created>
  <dcterms:modified xsi:type="dcterms:W3CDTF">2026-10-10T04:23:52Z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