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Clinical Nutrition &amp; Dietetic Services Evaluation</w:t>
      </w:r>
    </w:p>
    <w:bookmarkEnd w:id="20"/>
    <w:p>
      <w:pPr>
        <w:pStyle w:val="BodyText"/>
      </w:pPr>
      <w:r>
        <w:rPr>
          <w:bCs/>
          <w:b/>
        </w:rPr>
        <w:t xml:space="preserve">Review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Osaka, Chuo Ward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Dietitian Professional Practice</w:t>
      </w:r>
    </w:p>
    <w:p>
      <w:pPr>
        <w:pStyle w:val="BodyText"/>
      </w:pPr>
      <w:r>
        <w:rPr>
          <w:bCs/>
          <w:b/>
        </w:rPr>
        <w:t xml:space="preserve">Reviewer ID:</w:t>
      </w:r>
      <w:r>
        <w:t xml:space="preserve"> </w:t>
      </w:r>
      <w:r>
        <w:t xml:space="preserve">PR-OSK-2023-089</w:t>
      </w:r>
    </w:p>
    <w:p>
      <w:pPr>
        <w:pStyle w:val="BodyText"/>
      </w:pPr>
      <w:r>
        <w:rPr>
          <w:bCs/>
          <w:b/>
        </w:rPr>
        <w:t xml:space="preserve">Facility:</w:t>
      </w:r>
      <w:r>
        <w:t xml:space="preserve"> </w:t>
      </w:r>
      <w:r>
        <w:t xml:space="preserve">Osaka Metropolitan Clinical Nutrition Center</w:t>
      </w:r>
    </w:p>
    <w:p>
      <w:pPr>
        <w:pStyle w:val="BodyText"/>
      </w:pPr>
      <w:r>
        <w:rPr>
          <w:bCs/>
          <w:b/>
        </w:rPr>
        <w:t xml:space="preserve">Review Type:</w:t>
      </w:r>
      <w:r>
        <w:t xml:space="preserve"> </w:t>
      </w:r>
      <w:r>
        <w:t xml:space="preserve">Comprehensive Clinical Audit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documents the comprehensive evaluation of clinical dietetic services provided within a healthcare facility located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primary objective of this review was to assess the competency, adherence to clinical guidelines, and cultural sensitivity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staff. Given the unique demographic challenges in Osaka, including a rapidly aging population and specific regional dietary habits, this report focuses on how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integrates modern nutritional science with traditional Japanese dietary patterns. The review concludes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demonstrates a high level of proficiency, though specific areas regarding interdisciplinary communication require minor adjustments.</w:t>
      </w:r>
    </w:p>
    <w:bookmarkEnd w:id="21"/>
    <w:bookmarkStart w:id="22" w:name="scope-and-methodology"/>
    <w:p>
      <w:pPr>
        <w:pStyle w:val="Heading2"/>
      </w:pPr>
      <w:r>
        <w:t xml:space="preserve">2. Scope and Methodology</w:t>
      </w:r>
    </w:p>
    <w:p>
      <w:pPr>
        <w:pStyle w:val="FirstParagraph"/>
      </w:pPr>
      <w:r>
        <w:t xml:space="preserve">The scope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encompasses the evaluation of patient care records, direct observation of patient consultations, and an audit of nutritional care plans over a three-month period. The review was conducted in strict accordance with the standards set by the Japan Dietetic Association and local health regulations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t xml:space="preserve">The methodology involved a randomized selection of 50 patient files managed by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. These cases included patients with diabetes mellitus, hypertension, and dysphagia—conditions prevalent in the Osaka region. Furthermore,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includes feedback from nursing staff and physicians to evaluate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's role within the multidisciplinary team.</w:t>
      </w:r>
    </w:p>
    <w:bookmarkEnd w:id="22"/>
    <w:bookmarkStart w:id="23" w:name="Xfef92e5040fe9e17a28ab68427008f52748aecd"/>
    <w:p>
      <w:pPr>
        <w:pStyle w:val="Heading2"/>
      </w:pPr>
      <w:r>
        <w:t xml:space="preserve">3. Clinical Competency and Nutritional Assessment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assessment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's clinical skills. The review found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consistently performs thorough nutritional assessments. In the context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where patients often have a high intake of sodium due to traditional pickling and soy sauce usage,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has shown exceptional skill in identifying high-risk patients for hypertension.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effectively utilizes anthropometric measurements and biochemical data to formulate care plans. The review highlights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does not merely prescribe generic low-sodium diets but tailors interventions to the specific culinary preferences of Osaka residents. For instance,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successfully educates patients on reducing sodium without sacrificing the flavor profile of local cuisine, a crucial factor for patient adherence in this region.</w:t>
      </w:r>
    </w:p>
    <w:bookmarkEnd w:id="23"/>
    <w:bookmarkStart w:id="24" w:name="Xc23dec33ccfd8acaaca86fb7c796d34ee375c41"/>
    <w:p>
      <w:pPr>
        <w:pStyle w:val="Heading2"/>
      </w:pPr>
      <w:r>
        <w:t xml:space="preserve">4. Cultural Competency and Patient Education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requires a deep understanding of local culture.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how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navigates these cultural nuances.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demonstrates excellent cultural competency by respecting the concept of "washoku" (traditional Japanese dietary culture) while introducing necessary modifications for therapeutic diets.</w:t>
      </w:r>
    </w:p>
    <w:p>
      <w:pPr>
        <w:pStyle w:val="BodyText"/>
      </w:pPr>
      <w:r>
        <w:t xml:space="preserve">Patient education materials provided by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are reviewed and found to be culturally appropriate.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uses visual aids that feature familiar Osaka ingredients, making the nutritional advice more relatable and actionable. The report notes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effectively addresses the social aspect of eating in Osaka, where dining out is common, by providing strategies for making healthier choices at local restaurants and izakayas.</w:t>
      </w:r>
    </w:p>
    <w:bookmarkEnd w:id="24"/>
    <w:bookmarkStart w:id="25" w:name="documentation-and-compliance"/>
    <w:p>
      <w:pPr>
        <w:pStyle w:val="Heading2"/>
      </w:pPr>
      <w:r>
        <w:t xml:space="preserve">5. Documentation and Compliance</w:t>
      </w:r>
    </w:p>
    <w:p>
      <w:pPr>
        <w:pStyle w:val="FirstParagraph"/>
      </w:pPr>
      <w:r>
        <w:t xml:space="preserve">Accurate documentation is vital for any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The audit of records indicates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maintains detailed and compliant documentation. All care plans are updated regularly, reflecting changes in the patient's condition.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adheres to the privacy laws and medical record standards enforced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confirms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clearly documents the rationale behind specific dietary recommendations. This transparency is essential for continuity of care, especially in a busy hospital environment in Osaka where multiple specialists may be involved in a patient's treatment.</w:t>
      </w:r>
    </w:p>
    <w:bookmarkEnd w:id="25"/>
    <w:bookmarkStart w:id="26" w:name="areas-for-improvement"/>
    <w:p>
      <w:pPr>
        <w:pStyle w:val="Heading2"/>
      </w:pPr>
      <w:r>
        <w:t xml:space="preserve">6. Areas for Improvement</w:t>
      </w:r>
    </w:p>
    <w:p>
      <w:pPr>
        <w:pStyle w:val="FirstParagraph"/>
      </w:pPr>
      <w:r>
        <w:t xml:space="preserve">While the overall performance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commendable,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identifies areas for professional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Communication: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should increase the frequency of formal case conferences with the medical team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to ensure nutritional goals are fully aligned with medical treatments.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encouraged to adopt more digital tools for patient monitoring, which is a growing trend in healthcare facilities across Osaka.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Participation:</w:t>
      </w:r>
      <w:r>
        <w:t xml:space="preserve"> </w:t>
      </w:r>
      <w:r>
        <w:t xml:space="preserve">To further elevate the standard of care,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advised to participate in local research initiatives regarding metabolic health in the Osaka population.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under review provides high-quality, evidence-based, and culturally sensitive care.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's ability to adapt nutritional science to the specific needs of patients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is a significant strength. The recommendations provided in this report are intended to support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 continuing to deliver exceptional service and to further integrate nutritional care into the broader healthcare framework of the region.</w:t>
      </w:r>
    </w:p>
    <w:p>
      <w:pPr>
        <w:pStyle w:val="BodyText"/>
      </w:pPr>
      <w:r>
        <w:rPr>
          <w:bCs/>
          <w:b/>
        </w:rPr>
        <w:t xml:space="preserve">Lead Reviewer Signature</w:t>
      </w:r>
      <w:r>
        <w:br/>
      </w:r>
      <w:r>
        <w:t xml:space="preserve">Dr. Sarah Jenkins, RD, PhD</w:t>
      </w:r>
      <w:r>
        <w:br/>
      </w:r>
      <w:r>
        <w:t xml:space="preserve">Senior Clinical Nutritionist</w:t>
      </w:r>
    </w:p>
    <w:p>
      <w:pPr>
        <w:pStyle w:val="BodyText"/>
      </w:pPr>
      <w:r>
        <w:rPr>
          <w:bCs/>
          <w:b/>
        </w:rPr>
        <w:t xml:space="preserve">Reviewed Dietitian Signature</w:t>
      </w:r>
      <w:r>
        <w:br/>
      </w:r>
      <w:r>
        <w:t xml:space="preserve">[Name Redacted]</w:t>
      </w:r>
      <w:r>
        <w:br/>
      </w:r>
      <w:r>
        <w:t xml:space="preserve">Registered Dietitian</w:t>
      </w:r>
    </w:p>
    <w:p>
      <w:pPr>
        <w:pStyle w:val="BodyText"/>
      </w:pPr>
      <w:r>
        <w:t xml:space="preserve">Confidential Document - For Internal Use Only | Japan Osaka Health Authority Standards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Dietitian Practice in Japan Osaka</dc:title>
  <dc:creator/>
  <dc:language>en</dc:language>
  <cp:keywords/>
  <dcterms:created xsi:type="dcterms:W3CDTF">2026-10-10T04:18:13Z</dcterms:created>
  <dcterms:modified xsi:type="dcterms:W3CDTF">2026-10-10T04:18:13Z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