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Kazakhstan Almaty</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Clinical Nutrition Specialist, Almaty Medical Association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standards, and cultural adaptability of a practicing Dietitian operating within the healthcare infrastructure of Kazakhstan Almaty. The review aims to ensure that the professional services provided align with international nutritional standards while respecting the specific dietary habits, regulatory environment, and health challenges prevalent in the Almaty region. The evaluation covers patient case management, nutritional assessment methodologies, interdisciplinary collaboration, and adherence to local food safety regulations.</w:t>
      </w:r>
    </w:p>
    <w:bookmarkEnd w:id="21"/>
    <w:bookmarkStart w:id="22" w:name="introduction-and-context"/>
    <w:p>
      <w:pPr>
        <w:pStyle w:val="Heading2"/>
      </w:pPr>
      <w:r>
        <w:t xml:space="preserve">2. Introduction and Context</w:t>
      </w:r>
    </w:p>
    <w:p>
      <w:pPr>
        <w:pStyle w:val="FirstParagraph"/>
      </w:pPr>
      <w:r>
        <w:t xml:space="preserve">The role of a Dietitian in Kazakhstan Almaty is becoming increasingly critical due to the rising prevalence of non-communicable diseases (NCDs), including obesity, type 2 diabetes, and cardiovascular conditions. As Almaty continues to modernize its healthcare sector, the demand for evidence-based nutritional therapy has surged. This report assesses whether the Dietitian under review is effectively bridging the gap between traditional Kazakh dietary patterns—often rich in dairy products, meat, and carbohydrates—and modern clinical nutrition requirements.</w:t>
      </w:r>
    </w:p>
    <w:p>
      <w:pPr>
        <w:pStyle w:val="BodyText"/>
      </w:pPr>
      <w:r>
        <w:t xml:space="preserve">The review was initiated following a standard annual audit protocol mandated by the local medical licensing board. The objective is to verify that the Dietitian maintains high standards of care, utilizes up-to-date scientific literature, and provides culturally sensitive advice to a diverse patient population in Almaty.</w:t>
      </w:r>
    </w:p>
    <w:bookmarkEnd w:id="22"/>
    <w:bookmarkStart w:id="23" w:name="X6203b8ccd26bf9f43fb910cdc221bcb44d1bc7a"/>
    <w:p>
      <w:pPr>
        <w:pStyle w:val="Heading2"/>
      </w:pPr>
      <w:r>
        <w:t xml:space="preserve">3. Clinical Competence and Nutritional Assessment</w:t>
      </w:r>
    </w:p>
    <w:p>
      <w:pPr>
        <w:pStyle w:val="FirstParagraph"/>
      </w:pPr>
      <w:r>
        <w:t xml:space="preserve">The core of this Peer Review Report focuses on the Dietitian’s ability to conduct comprehensive nutritional assessments. The review examined a sample of 50 patient files. It was observed that the Dietitian consistently employs standardized tools such as anthropometric measurements, biochemical data analysis, and dietary history interviews.</w:t>
      </w:r>
    </w:p>
    <w:p>
      <w:pPr>
        <w:pStyle w:val="BodyText"/>
      </w:pPr>
      <w:r>
        <w:t xml:space="preserve">A notable strength identified is the Dietitian’s proficiency in adapting clinical guidelines to the local context of Kazakhstan Almaty. For instance, when treating patients with metabolic syndrome, the Dietitian successfully integrates local food availability into meal plans. Instead of prescribing generic Western diets, the professional recommends modifications to traditional dishes like "beshbarmak" and fermented dairy products ("kumis" or "ayran"), ensuring nutritional balance without alienating the patient’s cultural identity. This approach demonstrates a high level of clinical competence and cultural intelligence.</w:t>
      </w:r>
    </w:p>
    <w:p>
      <w:pPr>
        <w:pStyle w:val="BodyText"/>
      </w:pPr>
      <w:r>
        <w:t xml:space="preserve">However, the review noted a need for enhanced documentation regarding long-term follow-up metrics. While initial assessments are thorough, the tracking of patient adherence over six to twelve months could be more rigorous to better evaluate the efficacy of the interventions in the Almaty market.</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paramount for any Dietitian. This report confirms that the professional under review strictly follows the code of ethics established by the national health authorities in Kazakhstan. There were no instances of conflicts of interest, particularly regarding relationships with local food supplement vendors or pharmaceutical companies operating in Almaty.</w:t>
      </w:r>
    </w:p>
    <w:p>
      <w:pPr>
        <w:pStyle w:val="BodyText"/>
      </w:pPr>
      <w:r>
        <w:t xml:space="preserve">Patient confidentiality was maintained at a high standard. The Dietitian utilizes secure digital health records compliant with Kazakhstan’s data protection laws. Furthermore, the professional demonstrates respect for patient autonomy, ensuring that all dietary recommendations are discussed collaboratively rather than imposed, which is essential for building trust in the Almaty community.</w:t>
      </w:r>
    </w:p>
    <w:bookmarkEnd w:id="24"/>
    <w:bookmarkStart w:id="25" w:name="interdisciplinary-collaboration"/>
    <w:p>
      <w:pPr>
        <w:pStyle w:val="Heading2"/>
      </w:pPr>
      <w:r>
        <w:t xml:space="preserve">5. Interdisciplinary Collaboration</w:t>
      </w:r>
    </w:p>
    <w:p>
      <w:pPr>
        <w:pStyle w:val="FirstParagraph"/>
      </w:pPr>
      <w:r>
        <w:t xml:space="preserve">Effective healthcare in Kazakhstan Almaty requires strong collaboration between specialists. This Peer Review Report highlights the Dietitian’s active participation in multidisciplinary teams within local clinics and hospitals. The Dietitian regularly consults with endocrinologists, cardiologists, and pediatricians to formulate holistic treatment plans.</w:t>
      </w:r>
    </w:p>
    <w:p>
      <w:pPr>
        <w:pStyle w:val="BodyText"/>
      </w:pPr>
      <w:r>
        <w:t xml:space="preserve">Feedback from collaborating physicians indicates that the Dietitian’s input significantly improves patient outcomes, particularly in managing gestational diabetes and pediatric obesity. The professional’s ability to communicate complex nutritional concepts in clear, actionable terms to both medical colleagues and patients is a significant asset to the healthcare ecosystem in Almaty.</w:t>
      </w:r>
    </w:p>
    <w:bookmarkEnd w:id="25"/>
    <w:bookmarkStart w:id="26" w:name="continuing-professional-development"/>
    <w:p>
      <w:pPr>
        <w:pStyle w:val="Heading2"/>
      </w:pPr>
      <w:r>
        <w:t xml:space="preserve">6. Continuing Professional Development</w:t>
      </w:r>
    </w:p>
    <w:p>
      <w:pPr>
        <w:pStyle w:val="FirstParagraph"/>
      </w:pPr>
      <w:r>
        <w:t xml:space="preserve">The field of nutrition is rapidly evolving. This report verifies that the Dietitian is committed to continuing professional development (CPD). The professional has attended recent conferences on metabolic health in Central Asia and has completed certifications in sports nutrition and clinical dietetics.</w:t>
      </w:r>
    </w:p>
    <w:p>
      <w:pPr>
        <w:pStyle w:val="BodyText"/>
      </w:pPr>
      <w:r>
        <w:t xml:space="preserve">The Dietitian actively engages with local academic institutions in Almaty, contributing to workshops that educate the public on healthy eating habits. This engagement not only enhances the Dietitian’s own knowledge but also elevates the standard of nutritional care available in the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Dietitian practicing in Kazakhstan Almaty:</w:t>
      </w:r>
    </w:p>
    <w:p>
      <w:pPr>
        <w:numPr>
          <w:ilvl w:val="0"/>
          <w:numId w:val="1001"/>
        </w:numPr>
        <w:pStyle w:val="Compact"/>
      </w:pPr>
      <w:r>
        <w:rPr>
          <w:bCs/>
          <w:b/>
        </w:rPr>
        <w:t xml:space="preserve">Enhance Digital Tools:</w:t>
      </w:r>
      <w:r>
        <w:t xml:space="preserve"> </w:t>
      </w:r>
      <w:r>
        <w:t xml:space="preserve">Implement advanced mobile health applications to monitor patient dietary intake in real-time, catering to the tech-savvy demographic in Almaty.</w:t>
      </w:r>
    </w:p>
    <w:p>
      <w:pPr>
        <w:numPr>
          <w:ilvl w:val="0"/>
          <w:numId w:val="1001"/>
        </w:numPr>
        <w:pStyle w:val="Compact"/>
      </w:pPr>
      <w:r>
        <w:rPr>
          <w:bCs/>
          <w:b/>
        </w:rPr>
        <w:t xml:space="preserve">Expand Research:</w:t>
      </w:r>
      <w:r>
        <w:t xml:space="preserve"> </w:t>
      </w:r>
      <w:r>
        <w:t xml:space="preserve">Contribute to local research on the nutritional impact of traditional Kazakh diets on chronic diseases to further evidence-based practice.</w:t>
      </w:r>
    </w:p>
    <w:p>
      <w:pPr>
        <w:numPr>
          <w:ilvl w:val="0"/>
          <w:numId w:val="1001"/>
        </w:numPr>
        <w:pStyle w:val="Compact"/>
      </w:pPr>
      <w:r>
        <w:rPr>
          <w:bCs/>
          <w:b/>
        </w:rPr>
        <w:t xml:space="preserve">Standardize Follow-ups:</w:t>
      </w:r>
      <w:r>
        <w:t xml:space="preserve"> </w:t>
      </w:r>
      <w:r>
        <w:t xml:space="preserve">Develop a structured protocol for long-term patient follow-ups to ensure sustained health improvements.</w:t>
      </w:r>
    </w:p>
    <w:bookmarkEnd w:id="27"/>
    <w:bookmarkStart w:id="28" w:name="conclusion"/>
    <w:p>
      <w:pPr>
        <w:pStyle w:val="Heading2"/>
      </w:pPr>
      <w:r>
        <w:t xml:space="preserve">8. Conclusion</w:t>
      </w:r>
    </w:p>
    <w:p>
      <w:pPr>
        <w:pStyle w:val="FirstParagraph"/>
      </w:pPr>
      <w:r>
        <w:t xml:space="preserve">In conclusion, this Peer Review Report affirms that the Dietitian under review demonstrates a high level of professional excellence, clinical skill, and ethical integrity. The professional’s ability to navigate the unique healthcare landscape of Kazakhstan Almaty, while integrating global best practices with local cultural nuances, is commendable. The Dietitian plays a vital role in improving public health outcomes in the region. With the implementation of the minor recommendations outlined above, the professional is well-positioned to continue providing exceptional nutritional care to the community.</w:t>
      </w:r>
    </w:p>
    <w:bookmarkEnd w:id="28"/>
    <w:p>
      <w:pPr>
        <w:pStyle w:val="BodyText"/>
      </w:pPr>
      <w:r>
        <w:rPr>
          <w:bCs/>
          <w:b/>
        </w:rPr>
        <w:t xml:space="preserve">Reviewed by:</w:t>
      </w:r>
    </w:p>
    <w:p>
      <w:pPr>
        <w:pStyle w:val="BodyText"/>
      </w:pPr>
      <w:r>
        <w:t xml:space="preserve">Dr. Elena Volkova</w:t>
      </w:r>
    </w:p>
    <w:p>
      <w:pPr>
        <w:pStyle w:val="BodyText"/>
      </w:pPr>
      <w:r>
        <w:t xml:space="preserve">Senior Clinical Nutrition Specialist</w:t>
      </w:r>
    </w:p>
    <w:p>
      <w:pPr>
        <w:pStyle w:val="BodyText"/>
      </w:pPr>
      <w:r>
        <w:t xml:space="preserve">Almaty Medical Association</w:t>
      </w:r>
    </w:p>
    <w:p>
      <w:pPr>
        <w:pStyle w:val="BodyText"/>
      </w:pPr>
      <w:r>
        <w:t xml:space="preserve">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Kazakhstan Almaty</dc:title>
  <dc:creator/>
  <dc:language>en</dc:language>
  <cp:keywords/>
  <dcterms:created xsi:type="dcterms:W3CDTF">2026-10-10T08:09:50Z</dcterms:created>
  <dcterms:modified xsi:type="dcterms:W3CDTF">2026-10-10T08:09:50Z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