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t xml:space="preserve">Professional Evaluation of Clinical Dietitian Practice</w:t>
      </w:r>
    </w:p>
    <w:bookmarkEnd w:id="20"/>
    <w:p>
      <w:pPr>
        <w:pStyle w:val="BodyText"/>
      </w:pPr>
      <w:r>
        <w:rPr>
          <w:bCs/>
          <w:b/>
        </w:rPr>
        <w:t xml:space="preserve">Subject:</w:t>
      </w:r>
      <w:r>
        <w:t xml:space="preserve"> </w:t>
      </w:r>
      <w:r>
        <w:t xml:space="preserve">Registered Dietitian (Clinical Nutrition Specialist)</w:t>
      </w:r>
    </w:p>
    <w:p>
      <w:pPr>
        <w:pStyle w:val="BodyText"/>
      </w:pPr>
      <w:r>
        <w:rPr>
          <w:bCs/>
          <w:b/>
        </w:rPr>
        <w:t xml:space="preserve">Location:</w:t>
      </w:r>
      <w:r>
        <w:t xml:space="preserve"> </w:t>
      </w:r>
      <w:r>
        <w:t xml:space="preserve">Kuwait City, Kuwait</w:t>
      </w:r>
    </w:p>
    <w:p>
      <w:pPr>
        <w:pStyle w:val="BodyText"/>
      </w:pPr>
      <w:r>
        <w:rPr>
          <w:bCs/>
          <w:b/>
        </w:rPr>
        <w:t xml:space="preserve">Review Date:</w:t>
      </w:r>
      <w:r>
        <w:t xml:space="preserve"> </w:t>
      </w:r>
      <w:r>
        <w:t xml:space="preserve">October 24, 2023</w:t>
      </w:r>
    </w:p>
    <w:p>
      <w:pPr>
        <w:pStyle w:val="BodyText"/>
      </w:pPr>
      <w:r>
        <w:rPr>
          <w:bCs/>
          <w:b/>
        </w:rPr>
        <w:t xml:space="preserve">Review Type:</w:t>
      </w:r>
      <w:r>
        <w:t xml:space="preserve"> </w:t>
      </w:r>
      <w:r>
        <w:t xml:space="preserve">Annual Clinical Competency &amp; Cultural Adaptation Assessment</w:t>
      </w:r>
    </w:p>
    <w:p>
      <w:pPr>
        <w:pStyle w:val="BodyText"/>
      </w:pPr>
      <w:r>
        <w:rPr>
          <w:bCs/>
          <w:b/>
        </w:rPr>
        <w:t xml:space="preserve">Reviewer:</w:t>
      </w:r>
      <w:r>
        <w:t xml:space="preserve"> </w:t>
      </w:r>
      <w:r>
        <w:t xml:space="preserve">Senior Nutrition Board Committee</w:t>
      </w:r>
    </w:p>
    <w:p>
      <w:pPr>
        <w:pStyle w:val="BodyText"/>
      </w:pPr>
      <w:r>
        <w:rPr>
          <w:bCs/>
          <w:b/>
        </w:rPr>
        <w:t xml:space="preserve">Facility:</w:t>
      </w:r>
      <w:r>
        <w:t xml:space="preserve"> </w:t>
      </w:r>
      <w:r>
        <w:t xml:space="preserve">Tertiary Care Hospital, Kuwait City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outlines the comprehensive evaluation of a practicing</w:t>
      </w:r>
      <w:r>
        <w:t xml:space="preserve"> </w:t>
      </w:r>
      <w:r>
        <w:rPr>
          <w:bCs/>
          <w:b/>
        </w:rPr>
        <w:t xml:space="preserve">Dietitian</w:t>
      </w:r>
      <w:r>
        <w:t xml:space="preserve"> </w:t>
      </w:r>
      <w:r>
        <w:t xml:space="preserve">operating within the healthcare infrastructure of</w:t>
      </w:r>
      <w:r>
        <w:t xml:space="preserve"> </w:t>
      </w:r>
      <w:r>
        <w:rPr>
          <w:bCs/>
          <w:b/>
        </w:rPr>
        <w:t xml:space="preserve">Kuwait City</w:t>
      </w:r>
      <w:r>
        <w:t xml:space="preserve">. The primary objective of this review is to assess clinical competency, adherence to international nutritional standards, and the effective integration of culturally appropriate dietary counseling. Given the unique demographic and health landscape of Kuwait, including high prevalence rates of metabolic disorders, the role of the</w:t>
      </w:r>
      <w:r>
        <w:t xml:space="preserve"> </w:t>
      </w:r>
      <w:r>
        <w:rPr>
          <w:bCs/>
          <w:b/>
        </w:rPr>
        <w:t xml:space="preserve">Dietitian</w:t>
      </w:r>
      <w:r>
        <w:t xml:space="preserve"> </w:t>
      </w:r>
      <w:r>
        <w:t xml:space="preserve">is critical. This report confirms that the subject demonstrates a high level of proficiency in managing chronic diseases while successfully navigating the cultural nuances of food consumption in Kuwait.</w:t>
      </w:r>
    </w:p>
    <w:bookmarkEnd w:id="21"/>
    <w:bookmarkStart w:id="22" w:name="X954a0ba0858dfb6d16db8e5ee5f744abf53c9e8"/>
    <w:p>
      <w:pPr>
        <w:pStyle w:val="Heading2"/>
      </w:pPr>
      <w:r>
        <w:t xml:space="preserve">2. Clinical Competency and Evidence-Based Practice</w:t>
      </w:r>
    </w:p>
    <w:p>
      <w:pPr>
        <w:pStyle w:val="FirstParagraph"/>
      </w:pPr>
      <w:r>
        <w:t xml:space="preserve">The core of this</w:t>
      </w:r>
      <w:r>
        <w:t xml:space="preserve"> </w:t>
      </w:r>
      <w:r>
        <w:rPr>
          <w:bCs/>
          <w:b/>
        </w:rPr>
        <w:t xml:space="preserve">Peer Review Report</w:t>
      </w:r>
      <w:r>
        <w:t xml:space="preserve"> </w:t>
      </w:r>
      <w:r>
        <w:t xml:space="preserve">focuses on the clinical decision-making processes employed by the</w:t>
      </w:r>
      <w:r>
        <w:t xml:space="preserve"> </w:t>
      </w:r>
      <w:r>
        <w:rPr>
          <w:bCs/>
          <w:b/>
        </w:rPr>
        <w:t xml:space="preserve">Dietitian</w:t>
      </w:r>
      <w:r>
        <w:t xml:space="preserve">. The evaluation analyzed patient charts related to Type 2 Diabetes Mellitus, obesity, and cardiovascular health—conditions of significant concern in</w:t>
      </w:r>
      <w:r>
        <w:t xml:space="preserve"> </w:t>
      </w:r>
      <w:r>
        <w:rPr>
          <w:bCs/>
          <w:b/>
        </w:rPr>
        <w:t xml:space="preserve">Kuwait City</w:t>
      </w:r>
      <w:r>
        <w:t xml:space="preserve">.</w:t>
      </w:r>
    </w:p>
    <w:p>
      <w:pPr>
        <w:numPr>
          <w:ilvl w:val="0"/>
          <w:numId w:val="1001"/>
        </w:numPr>
        <w:pStyle w:val="Compact"/>
      </w:pPr>
      <w:r>
        <w:rPr>
          <w:bCs/>
          <w:b/>
        </w:rPr>
        <w:t xml:space="preserve">Assessment Accuracy:</w:t>
      </w:r>
      <w:r>
        <w:t xml:space="preserve"> </w:t>
      </w:r>
      <w:r>
        <w:t xml:space="preserve">The</w:t>
      </w:r>
      <w:r>
        <w:t xml:space="preserve"> </w:t>
      </w:r>
      <w:r>
        <w:rPr>
          <w:bCs/>
          <w:b/>
        </w:rPr>
        <w:t xml:space="preserve">Dietitian</w:t>
      </w:r>
      <w:r>
        <w:t xml:space="preserve"> </w:t>
      </w:r>
      <w:r>
        <w:t xml:space="preserve">consistently utilizes accurate anthropometric measurements and biochemical data interpretation. The assessment protocols align with the guidelines set by the Kuwait Ministry of Health and international bodies such as the Academy of Nutrition and Dietetics.</w:t>
      </w:r>
    </w:p>
    <w:p>
      <w:pPr>
        <w:numPr>
          <w:ilvl w:val="0"/>
          <w:numId w:val="1001"/>
        </w:numPr>
        <w:pStyle w:val="Compact"/>
      </w:pPr>
      <w:r>
        <w:rPr>
          <w:bCs/>
          <w:b/>
        </w:rPr>
        <w:t xml:space="preserve">Intervention Planning:</w:t>
      </w:r>
      <w:r>
        <w:t xml:space="preserve"> </w:t>
      </w:r>
      <w:r>
        <w:t xml:space="preserve">Nutritional care plans are individualized, realistic, and evidence-based. The</w:t>
      </w:r>
      <w:r>
        <w:t xml:space="preserve"> </w:t>
      </w:r>
      <w:r>
        <w:rPr>
          <w:bCs/>
          <w:b/>
        </w:rPr>
        <w:t xml:space="preserve">Dietitian</w:t>
      </w:r>
      <w:r>
        <w:t xml:space="preserve"> </w:t>
      </w:r>
      <w:r>
        <w:t xml:space="preserve">effectively calculates energy requirements and macronutrient distributions tailored to the sedentary lifestyle prevalent among many patients in Kuwait City.</w:t>
      </w:r>
    </w:p>
    <w:p>
      <w:pPr>
        <w:numPr>
          <w:ilvl w:val="0"/>
          <w:numId w:val="1001"/>
        </w:numPr>
        <w:pStyle w:val="Compact"/>
      </w:pPr>
      <w:r>
        <w:rPr>
          <w:bCs/>
          <w:b/>
        </w:rPr>
        <w:t xml:space="preserve">Monitoring and Evaluation:</w:t>
      </w:r>
      <w:r>
        <w:t xml:space="preserve"> </w:t>
      </w:r>
      <w:r>
        <w:t xml:space="preserve">Follow-up mechanisms are robust. The</w:t>
      </w:r>
      <w:r>
        <w:t xml:space="preserve"> </w:t>
      </w:r>
      <w:r>
        <w:rPr>
          <w:bCs/>
          <w:b/>
        </w:rPr>
        <w:t xml:space="preserve">Dietitian</w:t>
      </w:r>
      <w:r>
        <w:t xml:space="preserve"> </w:t>
      </w:r>
      <w:r>
        <w:t xml:space="preserve">demonstrates a proactive approach in adjusting dietary prescriptions based on patient progress and glycemic control markers.</w:t>
      </w:r>
    </w:p>
    <w:bookmarkEnd w:id="22"/>
    <w:bookmarkStart w:id="23" w:name="cultural-competence-and-local-adaptation"/>
    <w:p>
      <w:pPr>
        <w:pStyle w:val="Heading2"/>
      </w:pPr>
      <w:r>
        <w:t xml:space="preserve">3. Cultural Competence and Local Adaptation</w:t>
      </w:r>
    </w:p>
    <w:p>
      <w:pPr>
        <w:pStyle w:val="FirstParagraph"/>
      </w:pPr>
      <w:r>
        <w:t xml:space="preserve">A critical component of this</w:t>
      </w:r>
      <w:r>
        <w:t xml:space="preserve"> </w:t>
      </w:r>
      <w:r>
        <w:rPr>
          <w:bCs/>
          <w:b/>
        </w:rPr>
        <w:t xml:space="preserve">Peer Review Report</w:t>
      </w:r>
      <w:r>
        <w:t xml:space="preserve"> </w:t>
      </w:r>
      <w:r>
        <w:t xml:space="preserve">is the assessment of how the</w:t>
      </w:r>
      <w:r>
        <w:t xml:space="preserve"> </w:t>
      </w:r>
      <w:r>
        <w:rPr>
          <w:bCs/>
          <w:b/>
        </w:rPr>
        <w:t xml:space="preserve">Dietitian</w:t>
      </w:r>
      <w:r>
        <w:t xml:space="preserve"> </w:t>
      </w:r>
      <w:r>
        <w:t xml:space="preserve">adapts global nutritional science to the local context of</w:t>
      </w:r>
      <w:r>
        <w:t xml:space="preserve"> </w:t>
      </w:r>
      <w:r>
        <w:rPr>
          <w:bCs/>
          <w:b/>
        </w:rPr>
        <w:t xml:space="preserve">Kuwait City</w:t>
      </w:r>
      <w:r>
        <w:t xml:space="preserve">. Effective dietary counseling in Kuwait requires a deep understanding of traditional Emirati and Gulf cuisine.</w:t>
      </w:r>
    </w:p>
    <w:p>
      <w:pPr>
        <w:pStyle w:val="BodyText"/>
      </w:pPr>
      <w:r>
        <w:t xml:space="preserve">The</w:t>
      </w:r>
      <w:r>
        <w:t xml:space="preserve"> </w:t>
      </w:r>
      <w:r>
        <w:rPr>
          <w:bCs/>
          <w:b/>
        </w:rPr>
        <w:t xml:space="preserve">Dietitian</w:t>
      </w:r>
      <w:r>
        <w:t xml:space="preserve"> </w:t>
      </w:r>
      <w:r>
        <w:t xml:space="preserve">has shown exceptional skill in modifying traditional dishes rather than eliminating them. For instance, recommendations for managing diabetes include portion control strategies for rice-based meals (such as Machboos) and the substitution of refined sugars in traditional sweets with healthier alternatives. This approach ensures higher patient adherence compared to rigid Western-style dietary restrictions that may be culturally alienating. The</w:t>
      </w:r>
      <w:r>
        <w:t xml:space="preserve"> </w:t>
      </w:r>
      <w:r>
        <w:rPr>
          <w:bCs/>
          <w:b/>
        </w:rPr>
        <w:t xml:space="preserve">Dietitian</w:t>
      </w:r>
      <w:r>
        <w:t xml:space="preserve"> </w:t>
      </w:r>
      <w:r>
        <w:t xml:space="preserve">also demonstrates awareness of religious dietary laws, ensuring all recommendations are Halal-compliant and respectful of fasting practices during Ramadan, a vital aspect of practice in Kuwait.</w:t>
      </w:r>
    </w:p>
    <w:bookmarkEnd w:id="23"/>
    <w:bookmarkStart w:id="24" w:name="patient-communication-and-education"/>
    <w:p>
      <w:pPr>
        <w:pStyle w:val="Heading2"/>
      </w:pPr>
      <w:r>
        <w:t xml:space="preserve">4. Patient Communication and Education</w:t>
      </w:r>
    </w:p>
    <w:p>
      <w:pPr>
        <w:pStyle w:val="FirstParagraph"/>
      </w:pPr>
      <w:r>
        <w:t xml:space="preserve">The effectiveness of a</w:t>
      </w:r>
      <w:r>
        <w:t xml:space="preserve"> </w:t>
      </w:r>
      <w:r>
        <w:rPr>
          <w:bCs/>
          <w:b/>
        </w:rPr>
        <w:t xml:space="preserve">Dietitian</w:t>
      </w:r>
      <w:r>
        <w:t xml:space="preserve"> </w:t>
      </w:r>
      <w:r>
        <w:t xml:space="preserve">is heavily reliant on communication skills. This</w:t>
      </w:r>
      <w:r>
        <w:t xml:space="preserve"> </w:t>
      </w:r>
      <w:r>
        <w:rPr>
          <w:bCs/>
          <w:b/>
        </w:rPr>
        <w:t xml:space="preserve">Peer Review Report</w:t>
      </w:r>
      <w:r>
        <w:t xml:space="preserve"> </w:t>
      </w:r>
      <w:r>
        <w:t xml:space="preserve">highlights the subject's ability to bridge the gap between complex medical nutrition therapy and patient understanding.</w:t>
      </w:r>
    </w:p>
    <w:p>
      <w:pPr>
        <w:numPr>
          <w:ilvl w:val="0"/>
          <w:numId w:val="1002"/>
        </w:numPr>
        <w:pStyle w:val="Compact"/>
      </w:pPr>
      <w:r>
        <w:rPr>
          <w:bCs/>
          <w:b/>
        </w:rPr>
        <w:t xml:space="preserve">Linguistic Proficiency:</w:t>
      </w:r>
      <w:r>
        <w:t xml:space="preserve"> </w:t>
      </w:r>
      <w:r>
        <w:t xml:space="preserve">The</w:t>
      </w:r>
      <w:r>
        <w:t xml:space="preserve"> </w:t>
      </w:r>
      <w:r>
        <w:rPr>
          <w:bCs/>
          <w:b/>
        </w:rPr>
        <w:t xml:space="preserve">Dietitian</w:t>
      </w:r>
      <w:r>
        <w:t xml:space="preserve"> </w:t>
      </w:r>
      <w:r>
        <w:t xml:space="preserve">is fluent in both Arabic and English, allowing for seamless communication with the diverse population of</w:t>
      </w:r>
      <w:r>
        <w:t xml:space="preserve"> </w:t>
      </w:r>
      <w:r>
        <w:rPr>
          <w:bCs/>
          <w:b/>
        </w:rPr>
        <w:t xml:space="preserve">Kuwait City</w:t>
      </w:r>
      <w:r>
        <w:t xml:space="preserve">, which includes Kuwaiti nationals and a large expatriate community.</w:t>
      </w:r>
    </w:p>
    <w:p>
      <w:pPr>
        <w:numPr>
          <w:ilvl w:val="0"/>
          <w:numId w:val="1002"/>
        </w:numPr>
        <w:pStyle w:val="Compact"/>
      </w:pPr>
      <w:r>
        <w:rPr>
          <w:bCs/>
          <w:b/>
        </w:rPr>
        <w:t xml:space="preserve">Educational Materials:</w:t>
      </w:r>
      <w:r>
        <w:t xml:space="preserve"> </w:t>
      </w:r>
      <w:r>
        <w:t xml:space="preserve">The use of visual aids and culturally relevant food models has been noted as a strength. The</w:t>
      </w:r>
      <w:r>
        <w:t xml:space="preserve"> </w:t>
      </w:r>
      <w:r>
        <w:rPr>
          <w:bCs/>
          <w:b/>
        </w:rPr>
        <w:t xml:space="preserve">Dietitian</w:t>
      </w:r>
      <w:r>
        <w:t xml:space="preserve"> </w:t>
      </w:r>
      <w:r>
        <w:t xml:space="preserve">provides clear guidance on reading nutrition labels found in local Kuwaiti supermarkets, empowering patients to make informed choices.</w:t>
      </w:r>
    </w:p>
    <w:p>
      <w:pPr>
        <w:numPr>
          <w:ilvl w:val="0"/>
          <w:numId w:val="1002"/>
        </w:numPr>
        <w:pStyle w:val="Compact"/>
      </w:pPr>
      <w:r>
        <w:rPr>
          <w:bCs/>
          <w:b/>
        </w:rPr>
        <w:t xml:space="preserve">Empathy and Motivation:</w:t>
      </w:r>
      <w:r>
        <w:t xml:space="preserve"> </w:t>
      </w:r>
      <w:r>
        <w:t xml:space="preserve">Patient feedback indicates that the</w:t>
      </w:r>
      <w:r>
        <w:t xml:space="preserve"> </w:t>
      </w:r>
      <w:r>
        <w:rPr>
          <w:bCs/>
          <w:b/>
        </w:rPr>
        <w:t xml:space="preserve">Dietitian</w:t>
      </w:r>
      <w:r>
        <w:t xml:space="preserve"> </w:t>
      </w:r>
      <w:r>
        <w:t xml:space="preserve">fosters a supportive environment, utilizing motivational interviewing techniques to encourage sustainable lifestyle changes.</w:t>
      </w:r>
    </w:p>
    <w:bookmarkEnd w:id="24"/>
    <w:bookmarkStart w:id="25" w:name="X6745945511ecc5945202d084ea9350777e5d2db"/>
    <w:p>
      <w:pPr>
        <w:pStyle w:val="Heading2"/>
      </w:pPr>
      <w:r>
        <w:t xml:space="preserve">5. Professionalism and Interdisciplinary Collaboration</w:t>
      </w:r>
    </w:p>
    <w:p>
      <w:pPr>
        <w:pStyle w:val="FirstParagraph"/>
      </w:pPr>
      <w:r>
        <w:t xml:space="preserve">Within the healthcare ecosystem of</w:t>
      </w:r>
      <w:r>
        <w:t xml:space="preserve"> </w:t>
      </w:r>
      <w:r>
        <w:rPr>
          <w:bCs/>
          <w:b/>
        </w:rPr>
        <w:t xml:space="preserve">Kuwait City</w:t>
      </w:r>
      <w:r>
        <w:t xml:space="preserve">, the</w:t>
      </w:r>
      <w:r>
        <w:t xml:space="preserve"> </w:t>
      </w:r>
      <w:r>
        <w:rPr>
          <w:bCs/>
          <w:b/>
        </w:rPr>
        <w:t xml:space="preserve">Dietitian</w:t>
      </w:r>
      <w:r>
        <w:t xml:space="preserve"> </w:t>
      </w:r>
      <w:r>
        <w:t xml:space="preserve">operates as a key member of the multidisciplinary team. This</w:t>
      </w:r>
      <w:r>
        <w:t xml:space="preserve"> </w:t>
      </w:r>
      <w:r>
        <w:rPr>
          <w:bCs/>
          <w:b/>
        </w:rPr>
        <w:t xml:space="preserve">Peer Review Report</w:t>
      </w:r>
      <w:r>
        <w:t xml:space="preserve"> </w:t>
      </w:r>
      <w:r>
        <w:t xml:space="preserve">confirms strong collaborative relationships with endocrinologists, cardiologists, and primary care physicians. The</w:t>
      </w:r>
      <w:r>
        <w:t xml:space="preserve"> </w:t>
      </w:r>
      <w:r>
        <w:rPr>
          <w:bCs/>
          <w:b/>
        </w:rPr>
        <w:t xml:space="preserve">Dietitian</w:t>
      </w:r>
      <w:r>
        <w:t xml:space="preserve"> </w:t>
      </w:r>
      <w:r>
        <w:t xml:space="preserve">actively participates in case conferences, providing nutritional insights that directly influence medical treatment plans. Furthermore, the subject maintains up-to-date licensure with the Kuwait Ministry of Health and engages in continuous professional development to stay abreast of emerging research in metabolic health.</w:t>
      </w:r>
    </w:p>
    <w:bookmarkEnd w:id="25"/>
    <w:bookmarkStart w:id="28" w:name="areas-for-improvement"/>
    <w:p>
      <w:pPr>
        <w:pStyle w:val="Heading2"/>
      </w:pPr>
      <w:r>
        <w:t xml:space="preserve">6. Areas for Improvement</w:t>
      </w:r>
    </w:p>
    <w:p>
      <w:pPr>
        <w:pStyle w:val="FirstParagraph"/>
      </w:pPr>
      <w:r>
        <w:t xml:space="preserve">While the performance is exemplary, this</w:t>
      </w:r>
      <w:r>
        <w:t xml:space="preserve"> </w:t>
      </w:r>
      <w:r>
        <w:rPr>
          <w:bCs/>
          <w:b/>
        </w:rPr>
        <w:t xml:space="preserve">Peer Review Report</w:t>
      </w:r>
      <w:r>
        <w:t xml:space="preserve"> </w:t>
      </w:r>
      <w:r>
        <w:t xml:space="preserve">identifies minor areas for enhancement:</w:t>
      </w:r>
    </w:p>
    <w:p>
      <w:pPr>
        <w:numPr>
          <w:ilvl w:val="0"/>
          <w:numId w:val="1003"/>
        </w:numPr>
        <w:pStyle w:val="Compact"/>
      </w:pPr>
      <w:r>
        <w:rPr>
          <w:bCs/>
          <w:b/>
        </w:rPr>
        <w:t xml:space="preserve">Digital Health Integration:</w:t>
      </w:r>
      <w:r>
        <w:t xml:space="preserve"> </w:t>
      </w:r>
      <w:r>
        <w:t xml:space="preserve">The</w:t>
      </w:r>
      <w:r>
        <w:t xml:space="preserve"> </w:t>
      </w:r>
      <w:r>
        <w:rPr>
          <w:bCs/>
          <w:b/>
        </w:rPr>
        <w:t xml:space="preserve">Dietitian</w:t>
      </w:r>
      <w:r>
        <w:t xml:space="preserve"> </w:t>
      </w:r>
      <w:r>
        <w:t xml:space="preserve">is encouraged to further utilize tele-nutrition platforms and mobile health applications popular in Kuwait to enhance remote patient monitoring.</w:t>
      </w:r>
    </w:p>
    <w:p>
      <w:pPr>
        <w:numPr>
          <w:ilvl w:val="0"/>
          <w:numId w:val="1003"/>
        </w:numPr>
        <w:pStyle w:val="Compact"/>
      </w:pPr>
      <w:r>
        <w:rPr>
          <w:bCs/>
          <w:b/>
        </w:rPr>
        <w:t xml:space="preserve">Community Outreach:</w:t>
      </w:r>
      <w:r>
        <w:t xml:space="preserve"> </w:t>
      </w:r>
      <w:r>
        <w:t xml:space="preserve">Expanding educational workshops into community centers in Kuwait City could help address preventive nutrition on a broader scale.</w:t>
      </w:r>
    </w:p>
    <w:bookmarkStart w:id="26" w:name="overall-performance-rating"/>
    <w:p>
      <w:pPr>
        <w:pStyle w:val="Heading3"/>
      </w:pPr>
      <w:r>
        <w:t xml:space="preserve">Overall Performance Rating</w:t>
      </w:r>
    </w:p>
    <w:p>
      <w:pPr>
        <w:pStyle w:val="FirstParagraph"/>
      </w:pPr>
      <w:r>
        <w:t xml:space="preserve">Clinical Knowledge:</w:t>
      </w:r>
      <w:r>
        <w:t xml:space="preserve"> </w:t>
      </w:r>
      <w:r>
        <w:t xml:space="preserve">Excellent (9.5/10)</w:t>
      </w:r>
    </w:p>
    <w:p>
      <w:pPr>
        <w:pStyle w:val="BodyText"/>
      </w:pPr>
      <w:r>
        <w:t xml:space="preserve">Cultural Adaptation (Kuwait Context):</w:t>
      </w:r>
      <w:r>
        <w:t xml:space="preserve"> </w:t>
      </w:r>
      <w:r>
        <w:t xml:space="preserve">Outstanding (10/10)</w:t>
      </w:r>
    </w:p>
    <w:p>
      <w:pPr>
        <w:pStyle w:val="BodyText"/>
      </w:pPr>
      <w:r>
        <w:t xml:space="preserve">Patient Communication:</w:t>
      </w:r>
      <w:r>
        <w:t xml:space="preserve"> </w:t>
      </w:r>
      <w:r>
        <w:t xml:space="preserve">Excellent (9/10)</w:t>
      </w:r>
    </w:p>
    <w:p>
      <w:pPr>
        <w:pStyle w:val="BodyText"/>
      </w:pPr>
      <w:r>
        <w:t xml:space="preserve">Professional Ethics:</w:t>
      </w:r>
      <w:r>
        <w:t xml:space="preserve"> </w:t>
      </w:r>
      <w:r>
        <w:t xml:space="preserve">Excellent (10/10)</w:t>
      </w:r>
    </w:p>
    <w:bookmarkEnd w:id="26"/>
    <w:bookmarkStart w:id="27" w:name="final-recommendation"/>
    <w:p>
      <w:pPr>
        <w:pStyle w:val="Heading3"/>
      </w:pPr>
      <w:r>
        <w:t xml:space="preserve">Final Recommendation</w:t>
      </w:r>
    </w:p>
    <w:p>
      <w:pPr>
        <w:pStyle w:val="FirstParagraph"/>
      </w:pPr>
      <w:r>
        <w:t xml:space="preserve">Based on the findings of this</w:t>
      </w:r>
      <w:r>
        <w:t xml:space="preserve"> </w:t>
      </w:r>
      <w:r>
        <w:rPr>
          <w:bCs/>
          <w:b/>
        </w:rPr>
        <w:t xml:space="preserve">Peer Review Report</w:t>
      </w:r>
      <w:r>
        <w:t xml:space="preserve">, the</w:t>
      </w:r>
      <w:r>
        <w:t xml:space="preserve"> </w:t>
      </w:r>
      <w:r>
        <w:rPr>
          <w:bCs/>
          <w:b/>
        </w:rPr>
        <w:t xml:space="preserve">Dietitian</w:t>
      </w:r>
      <w:r>
        <w:t xml:space="preserve"> </w:t>
      </w:r>
      <w:r>
        <w:t xml:space="preserve">is fully endorsed for continued practice in</w:t>
      </w:r>
      <w:r>
        <w:t xml:space="preserve"> </w:t>
      </w:r>
      <w:r>
        <w:rPr>
          <w:bCs/>
          <w:b/>
        </w:rPr>
        <w:t xml:space="preserve">Kuwait City</w:t>
      </w:r>
      <w:r>
        <w:t xml:space="preserve">. The subject exhibits a rare combination of clinical excellence and cultural sensitivity, making them an invaluable asset to the healthcare system in Kuwait. It is recommended that the</w:t>
      </w:r>
      <w:r>
        <w:t xml:space="preserve"> </w:t>
      </w:r>
      <w:r>
        <w:rPr>
          <w:bCs/>
          <w:b/>
        </w:rPr>
        <w:t xml:space="preserve">Dietitian</w:t>
      </w:r>
      <w:r>
        <w:t xml:space="preserve"> </w:t>
      </w:r>
      <w:r>
        <w:t xml:space="preserve">be considered for a leadership role in developing institutional nutrition protocols that reflect the specific dietary needs of the Kuwaiti population.</w:t>
      </w:r>
    </w:p>
    <w:bookmarkEnd w:id="27"/>
    <w:p>
      <w:pPr>
        <w:pStyle w:val="BodyText"/>
      </w:pPr>
      <w:r>
        <w:t xml:space="preserve">This document is a confidential</w:t>
      </w:r>
      <w:r>
        <w:t xml:space="preserve"> </w:t>
      </w:r>
      <w:r>
        <w:rPr>
          <w:bCs/>
          <w:b/>
        </w:rPr>
        <w:t xml:space="preserve">Peer Review Report</w:t>
      </w:r>
      <w:r>
        <w:t xml:space="preserve"> </w:t>
      </w:r>
      <w:r>
        <w:t xml:space="preserve">intended for internal professional use.</w:t>
      </w:r>
      <w:r>
        <w:br/>
      </w:r>
      <w:r>
        <w:t xml:space="preserve">Generated for the evaluation of Dietitian services in Kuwait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Services in Kuwait City</dc:title>
  <dc:creator/>
  <dc:language>en</dc:language>
  <cp:keywords/>
  <dcterms:created xsi:type="dcterms:W3CDTF">2026-10-10T08:09:52Z</dcterms:created>
  <dcterms:modified xsi:type="dcterms:W3CDTF">2026-10-10T08:09:52Z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