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Kuala Lumpur Clinical Nutrition Peer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ethical compliance of a practicing Dietitian operating within the bustling healthcare landscape of Malaysia Kuala Lumpur. The review aims to ensure that the Dietitian adheres to the stringent guidelines set forth by the Dietitians Council of Malaysia and aligns with international best practices in nutritional therapy. The assessment covers patient case management, cultural competency regarding local dietary habits, documentation standards, and professional development.</w:t>
      </w:r>
    </w:p>
    <w:bookmarkEnd w:id="21"/>
    <w:bookmarkStart w:id="22" w:name="introduction-and-scope"/>
    <w:p>
      <w:pPr>
        <w:pStyle w:val="Heading2"/>
      </w:pPr>
      <w:r>
        <w:t xml:space="preserve">2. Introduction and Scope</w:t>
      </w:r>
    </w:p>
    <w:p>
      <w:pPr>
        <w:pStyle w:val="FirstParagraph"/>
      </w:pPr>
      <w:r>
        <w:t xml:space="preserve">The role of a Dietitian in Malaysia Kuala Lumpur is increasingly critical due to the rising prevalence of lifestyle-related diseases such as diabetes mellitus, hypertension, and obesity within the urban population. This Peer Review Report focuses on a specific Dietitian who provides services in a multi-specialty clinic in the heart of Kuala Lumpur. The scope of this review includes an analysis of twenty anonymized patient files, direct observation of three patient consultations, and a review of the Dietitian’s continuing professional development (CPD) records.</w:t>
      </w:r>
    </w:p>
    <w:p>
      <w:pPr>
        <w:pStyle w:val="BodyText"/>
      </w:pPr>
      <w:r>
        <w:t xml:space="preserve">The primary objective is to verify that the Dietitian provides evidence-based nutritional care that is safe, effective, and culturally appropriate for the diverse demographic of Kuala Lumpur.</w:t>
      </w:r>
    </w:p>
    <w:bookmarkEnd w:id="22"/>
    <w:bookmarkStart w:id="23" w:name="X954a0ba0858dfb6d16db8e5ee5f744abf53c9e8"/>
    <w:p>
      <w:pPr>
        <w:pStyle w:val="Heading2"/>
      </w:pPr>
      <w:r>
        <w:t xml:space="preserve">3. Clinical Competency and Evidence-Based Practice</w:t>
      </w:r>
    </w:p>
    <w:p>
      <w:pPr>
        <w:pStyle w:val="FirstParagraph"/>
      </w:pPr>
      <w:r>
        <w:t xml:space="preserve">The review found that the Dietitian demonstrates a high level of clinical competency. In the assessment of patient files, it was noted that the Dietitian consistently utilizes up-to-date clinical guidelines for managing chronic conditions. For instance, in cases involving Type 2 Diabetes, the Dietitian effectively integrates carbohydrate counting methods while considering the glycemic index of common Malaysian staples such as rice and noodles.</w:t>
      </w:r>
    </w:p>
    <w:p>
      <w:pPr>
        <w:pStyle w:val="BodyText"/>
      </w:pPr>
      <w:r>
        <w:t xml:space="preserve">Furthermore, the Dietitian shows proficiency in interpreting biochemical markers, including lipid profiles and HbA1c levels, to tailor nutritional interventions. The ability to collaborate with physicians and other healthcare professionals in Kuala Lumpur hospitals and clinics was also observed, ensuring a holistic approach to patient care. The Dietitian’s recommendations are clearly grounded in scientific evidence, avoiding fad diets or unproven nutritional supplements.</w:t>
      </w:r>
    </w:p>
    <w:bookmarkEnd w:id="23"/>
    <w:bookmarkStart w:id="24" w:name="X459c8a88d4d0cd28e782d15d46238abb846ffd3"/>
    <w:p>
      <w:pPr>
        <w:pStyle w:val="Heading2"/>
      </w:pPr>
      <w:r>
        <w:t xml:space="preserve">4. Cultural Competency and Local Dietary Adaptation</w:t>
      </w:r>
    </w:p>
    <w:p>
      <w:pPr>
        <w:pStyle w:val="FirstParagraph"/>
      </w:pPr>
      <w:r>
        <w:t xml:space="preserve">A crucial aspect of this Peer Review Report is the evaluation of how the Dietitian adapts nutritional advice to the local context of Malaysia Kuala Lumpur. The multicultural nature of Kuala Lumpur requires a Dietitian to be sensitive to the dietary restrictions and preferences of Malay, Chinese, Indian, and indigenous communities.</w:t>
      </w:r>
    </w:p>
    <w:p>
      <w:pPr>
        <w:pStyle w:val="BodyText"/>
      </w:pPr>
      <w:r>
        <w:t xml:space="preserve">The review highlights that the Dietitian excels in this area. Meal plans provided to patients respect religious dietary laws, such as Halal requirements for Muslim patients and vegetarian preferences for some Buddhist and Hindu patients. The Dietitian skillfully modifies traditional Malaysian dishes—such as reducing oil in stir-fries or using healthier alternatives for coconut milk in curries—rather than suggesting foreign foods that patients are unlikely to consume. This cultural sensitivity significantly enhances patient adherence to dietary regimens.</w:t>
      </w:r>
    </w:p>
    <w:bookmarkEnd w:id="24"/>
    <w:bookmarkStart w:id="25" w:name="documentation-and-record-keeping"/>
    <w:p>
      <w:pPr>
        <w:pStyle w:val="Heading2"/>
      </w:pPr>
      <w:r>
        <w:t xml:space="preserve">5. Documentation and Record Keeping</w:t>
      </w:r>
    </w:p>
    <w:p>
      <w:pPr>
        <w:pStyle w:val="FirstParagraph"/>
      </w:pPr>
      <w:r>
        <w:t xml:space="preserve">Accurate documentation is vital for continuity of care and legal protection. The Dietitian’s records were found to be comprehensive and well-organized. Each patient file includes detailed anthropometric measurements, dietary history, medical history, and specific nutritional diagnoses. The progress notes clearly outline the rationale behind dietary changes and track patient outcomes over time.</w:t>
      </w:r>
    </w:p>
    <w:p>
      <w:pPr>
        <w:pStyle w:val="BodyText"/>
      </w:pPr>
      <w:r>
        <w:t xml:space="preserve">The Dietitian adheres to the data privacy standards required in Malaysia, ensuring that patient confidentiality is maintained. Electronic health records are used efficiently, allowing for easy retrieval of information during follow-up consultations.</w:t>
      </w:r>
    </w:p>
    <w:bookmarkEnd w:id="25"/>
    <w:bookmarkStart w:id="26" w:name="professional-ethics-and-communication"/>
    <w:p>
      <w:pPr>
        <w:pStyle w:val="Heading2"/>
      </w:pPr>
      <w:r>
        <w:t xml:space="preserve">6. Professional Ethics and Communication</w:t>
      </w:r>
    </w:p>
    <w:p>
      <w:pPr>
        <w:pStyle w:val="FirstParagraph"/>
      </w:pPr>
      <w:r>
        <w:t xml:space="preserve">The Dietitian demonstrates strong ethical standards, maintaining professional boundaries and treating all patients with respect and empathy. During observed consultations, the Dietitian used clear, non-judgmental language to discuss sensitive topics such as weight management and eating disorders. The communication style was patient-centered, encouraging active participation in the decision-making process.</w:t>
      </w:r>
    </w:p>
    <w:p>
      <w:pPr>
        <w:pStyle w:val="BodyText"/>
      </w:pPr>
      <w:r>
        <w:t xml:space="preserve">Additionally, the Dietitian actively engages in community health initiatives in Kuala Lumpur, conducting workshops on healthy eating and nutrition literacy. This commitment to public health education reflects a dedication to the broader mission of the nutrition profession in Malaysia.</w:t>
      </w:r>
    </w:p>
    <w:bookmarkEnd w:id="26"/>
    <w:bookmarkStart w:id="27" w:name="recommendations"/>
    <w:p>
      <w:pPr>
        <w:pStyle w:val="Heading2"/>
      </w:pPr>
      <w:r>
        <w:t xml:space="preserve">7. Recommendations</w:t>
      </w:r>
    </w:p>
    <w:p>
      <w:pPr>
        <w:pStyle w:val="FirstParagraph"/>
      </w:pPr>
      <w:r>
        <w:t xml:space="preserve">While the Dietitian’s performance is commendable, this Peer Review Report suggests a few areas for enhancement:</w:t>
      </w:r>
    </w:p>
    <w:p>
      <w:pPr>
        <w:numPr>
          <w:ilvl w:val="0"/>
          <w:numId w:val="1001"/>
        </w:numPr>
        <w:pStyle w:val="Compact"/>
      </w:pPr>
      <w:r>
        <w:rPr>
          <w:bCs/>
          <w:b/>
        </w:rPr>
        <w:t xml:space="preserve">Advanced Training:</w:t>
      </w:r>
      <w:r>
        <w:t xml:space="preserve"> </w:t>
      </w:r>
      <w:r>
        <w:t xml:space="preserve">It is recommended that the Dietitian pursue advanced certification in sports nutrition or pediatric nutrition to broaden their service offerings in the competitive Kuala Lumpur market.</w:t>
      </w:r>
    </w:p>
    <w:p>
      <w:pPr>
        <w:numPr>
          <w:ilvl w:val="0"/>
          <w:numId w:val="1001"/>
        </w:numPr>
        <w:pStyle w:val="Compact"/>
      </w:pPr>
      <w:r>
        <w:rPr>
          <w:bCs/>
          <w:b/>
        </w:rPr>
        <w:t xml:space="preserve">Telehealth Integration:</w:t>
      </w:r>
      <w:r>
        <w:t xml:space="preserve"> </w:t>
      </w:r>
      <w:r>
        <w:t xml:space="preserve">Given the fast-paced lifestyle in Kuala Lumpur, expanding telehealth services could improve accessibility for patients who struggle to attend in-person appointments.</w:t>
      </w:r>
    </w:p>
    <w:p>
      <w:pPr>
        <w:numPr>
          <w:ilvl w:val="0"/>
          <w:numId w:val="1001"/>
        </w:numPr>
        <w:pStyle w:val="Compact"/>
      </w:pPr>
      <w:r>
        <w:rPr>
          <w:bCs/>
          <w:b/>
        </w:rPr>
        <w:t xml:space="preserve">Research Contribution:</w:t>
      </w:r>
      <w:r>
        <w:t xml:space="preserve"> </w:t>
      </w:r>
      <w:r>
        <w:t xml:space="preserve">The Dietitian is encouraged to contribute to local research on nutrition and lifestyle diseases in Malaysia to further evidence-based practices.</w:t>
      </w:r>
    </w:p>
    <w:bookmarkEnd w:id="27"/>
    <w:bookmarkStart w:id="28" w:name="conclusion"/>
    <w:p>
      <w:pPr>
        <w:pStyle w:val="Heading2"/>
      </w:pPr>
      <w:r>
        <w:t xml:space="preserve">8. Conclusion</w:t>
      </w:r>
    </w:p>
    <w:p>
      <w:pPr>
        <w:pStyle w:val="FirstParagraph"/>
      </w:pPr>
      <w:r>
        <w:t xml:space="preserve">In conclusion, this Peer Review Report confirms that the Dietitian under review maintains a high standard of professional practice. Their ability to combine clinical expertise with cultural awareness makes them a valuable asset to the healthcare system in Malaysia Kuala Lumpur. The Dietitian is fully compliant with the regulatory requirements and ethical standards expected of a registered professional. With the implementation of the suggested recommendations, the Dietitian can further enhance their impact on public health and patient outcomes.</w:t>
      </w:r>
    </w:p>
    <w:bookmarkEnd w:id="28"/>
    <w:p>
      <w:pPr>
        <w:pStyle w:val="BodyText"/>
      </w:pPr>
      <w:r>
        <w:rPr>
          <w:bCs/>
          <w:b/>
        </w:rPr>
        <w:t xml:space="preserve">Prepared by:</w:t>
      </w:r>
    </w:p>
    <w:p>
      <w:pPr>
        <w:pStyle w:val="BodyText"/>
      </w:pPr>
      <w:r>
        <w:t xml:space="preserve">Dr. Sarah Lim, PhD, RD</w:t>
      </w:r>
    </w:p>
    <w:p>
      <w:pPr>
        <w:pStyle w:val="BodyText"/>
      </w:pPr>
      <w:r>
        <w:t xml:space="preserve">Senior Peer Reviewer</w:t>
      </w:r>
    </w:p>
    <w:p>
      <w:pPr>
        <w:pStyle w:val="BodyText"/>
      </w:pPr>
      <w:r>
        <w:t xml:space="preserve">Kuala Lumpur Clinical Nutrition Peer Committee</w:t>
      </w:r>
    </w:p>
    <w:p>
      <w:pPr>
        <w:pStyle w:val="BodyText"/>
      </w:pPr>
      <w:r>
        <w:rPr>
          <w:iCs/>
          <w:i/>
        </w:rPr>
        <w:t xml:space="preserve">Signature: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Malaysia Kuala Lumpur</dc:title>
  <dc:creator/>
  <dc:language>en</dc:language>
  <cp:keywords/>
  <dcterms:created xsi:type="dcterms:W3CDTF">2026-10-10T02:03:32Z</dcterms:created>
  <dcterms:modified xsi:type="dcterms:W3CDTF">2026-10-10T02:03:32Z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