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Dietitian</w:t>
      </w:r>
      <w:r>
        <w:t xml:space="preserve"> </w:t>
      </w:r>
      <w:r>
        <w:t xml:space="preserve">Practice</w:t>
      </w:r>
      <w:r>
        <w:t xml:space="preserve"> </w:t>
      </w:r>
      <w:r>
        <w:t xml:space="preserve">in</w:t>
      </w:r>
      <w:r>
        <w:t xml:space="preserve"> </w:t>
      </w:r>
      <w:r>
        <w:t xml:space="preserve">Manila,</w:t>
      </w:r>
      <w:r>
        <w:t xml:space="preserve"> </w:t>
      </w:r>
      <w:r>
        <w:t xml:space="preserve">Philippines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Clinical Practice of a Registered Dietitian</w:t>
      </w:r>
    </w:p>
    <w:p>
      <w:pPr>
        <w:pStyle w:val="BodyText"/>
      </w:pPr>
      <w:r>
        <w:rPr>
          <w:bCs/>
          <w:b/>
        </w:rPr>
        <w:t xml:space="preserve">Location:</w:t>
      </w:r>
      <w:r>
        <w:t xml:space="preserve"> </w:t>
      </w:r>
      <w:r>
        <w:t xml:space="preserve">Manila, Philippines</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Philippine Dietetic Association (PDA) - Regional Peer Review Committee</w:t>
      </w:r>
    </w:p>
    <w:bookmarkEnd w:id="20"/>
    <w:bookmarkStart w:id="21" w:name="executive-summary"/>
    <w:p>
      <w:pPr>
        <w:pStyle w:val="Heading2"/>
      </w:pPr>
      <w:r>
        <w:t xml:space="preserve">1. Executive Summary</w:t>
      </w:r>
    </w:p>
    <w:p>
      <w:pPr>
        <w:pStyle w:val="FirstParagraph"/>
      </w:pPr>
      <w:r>
        <w:t xml:space="preserve">This Peer Review Report documents the comprehensive evaluation of the professional practice of a licensed Dietitian operating within the National Capital Region (NCR), specifically Manila, Philippines. The purpose of this review is to ensure adherence to the standards set forth by the Philippine Dietetic Association (PDA) and the Professional Regulation Commission (PRC). The review assesses clinical competence, ethical conduct, cultural competency, and the integration of local nutritional guidelines into patient care. The findings indicate a high level of professional proficiency, with specific recommendations for enhancing community-based interventions relevant to the unique demographic of Manila.</w:t>
      </w:r>
    </w:p>
    <w:bookmarkEnd w:id="21"/>
    <w:bookmarkStart w:id="22" w:name="introduction-and-scope"/>
    <w:p>
      <w:pPr>
        <w:pStyle w:val="Heading2"/>
      </w:pPr>
      <w:r>
        <w:t xml:space="preserve">2. Introduction and Scope</w:t>
      </w:r>
    </w:p>
    <w:p>
      <w:pPr>
        <w:pStyle w:val="FirstParagraph"/>
      </w:pPr>
      <w:r>
        <w:t xml:space="preserve">The role of the Dietitian in the Philippines has evolved significantly, moving beyond hospital-based clinical nutrition to encompass public health, food service management, and community wellness. In a metropolitan hub like Manila, where lifestyle-related diseases such as diabetes mellitus, hypertension, and obesity are prevalent, the expertise of a Dietitian is critical.</w:t>
      </w:r>
    </w:p>
    <w:p>
      <w:pPr>
        <w:pStyle w:val="BodyText"/>
      </w:pPr>
      <w:r>
        <w:t xml:space="preserve">This Peer Review Report focuses on the following key areas:</w:t>
      </w:r>
    </w:p>
    <w:p>
      <w:pPr>
        <w:numPr>
          <w:ilvl w:val="0"/>
          <w:numId w:val="1001"/>
        </w:numPr>
        <w:pStyle w:val="Compact"/>
      </w:pPr>
      <w:r>
        <w:t xml:space="preserve">Compliance with the Philippine Code of Ethics for Dietitians.</w:t>
      </w:r>
    </w:p>
    <w:p>
      <w:pPr>
        <w:numPr>
          <w:ilvl w:val="0"/>
          <w:numId w:val="1001"/>
        </w:numPr>
        <w:pStyle w:val="Compact"/>
      </w:pPr>
      <w:r>
        <w:t xml:space="preserve">Application of the Philippine Dietary Reference Intakes (PDRI).</w:t>
      </w:r>
    </w:p>
    <w:p>
      <w:pPr>
        <w:numPr>
          <w:ilvl w:val="0"/>
          <w:numId w:val="1001"/>
        </w:numPr>
        <w:pStyle w:val="Compact"/>
      </w:pPr>
      <w:r>
        <w:t xml:space="preserve">Effectiveness of medical nutrition therapy (MNT) in a local context.</w:t>
      </w:r>
    </w:p>
    <w:p>
      <w:pPr>
        <w:numPr>
          <w:ilvl w:val="0"/>
          <w:numId w:val="1001"/>
        </w:numPr>
        <w:pStyle w:val="Compact"/>
      </w:pPr>
      <w:r>
        <w:t xml:space="preserve">Documentation and record-keeping standards.</w:t>
      </w:r>
    </w:p>
    <w:bookmarkEnd w:id="22"/>
    <w:bookmarkStart w:id="25" w:name="Xaa9b36e5b7f8c1d8f09cffbf31c88708ff737e8"/>
    <w:p>
      <w:pPr>
        <w:pStyle w:val="Heading2"/>
      </w:pPr>
      <w:r>
        <w:t xml:space="preserve">3. Clinical Competence and Practice Standards</w:t>
      </w:r>
    </w:p>
    <w:bookmarkStart w:id="23" w:name="nutritional-assessment"/>
    <w:p>
      <w:pPr>
        <w:pStyle w:val="Heading3"/>
      </w:pPr>
      <w:r>
        <w:t xml:space="preserve">3.1 Nutritional Assessment</w:t>
      </w:r>
    </w:p>
    <w:p>
      <w:pPr>
        <w:pStyle w:val="FirstParagraph"/>
      </w:pPr>
      <w:r>
        <w:t xml:space="preserve">The reviewed Dietitian demonstrated a robust methodology in conducting nutritional assessments. The evaluation process correctly utilized the four components of the Nutrition Care Process: Assessment, Diagnosis, Intervention, and Monitoring/Evaluation. In the context of Manila, where patients often present with complex comorbidities, the Dietitian showed proficiency in interpreting biochemical data, anthropometric measurements, and dietary histories.</w:t>
      </w:r>
    </w:p>
    <w:p>
      <w:pPr>
        <w:pStyle w:val="BodyText"/>
      </w:pPr>
      <w:r>
        <w:t xml:space="preserve">Notably, the Dietitian effectively accounted for local dietary patterns. For instance, when assessing patients with high carbohydrate intake typical of Filipino cuisine (e.g., rice-heavy meals), the Dietitian provided tailored strategies rather than generic Western-based advice. This cultural adaptation is essential for patient adherence in the Philippines.</w:t>
      </w:r>
    </w:p>
    <w:bookmarkEnd w:id="23"/>
    <w:bookmarkStart w:id="24" w:name="medical-nutrition-therapy-mnt"/>
    <w:p>
      <w:pPr>
        <w:pStyle w:val="Heading3"/>
      </w:pPr>
      <w:r>
        <w:t xml:space="preserve">3.2 Medical Nutrition Therapy (MNT)</w:t>
      </w:r>
    </w:p>
    <w:p>
      <w:pPr>
        <w:pStyle w:val="FirstParagraph"/>
      </w:pPr>
      <w:r>
        <w:t xml:space="preserve">The development of nutrition care plans was found to be evidence-based and aligned with the latest clinical guidelines. The Dietitian successfully integrated the "Pinggang Pinoy" (Filipino Plate) concept into therapeutic diets for diabetes and cardiovascular diseases. This approach ensures that nutritional advice is practical, culturally acceptable, and economically feasible for the average patient in Manila.</w:t>
      </w:r>
    </w:p>
    <w:p>
      <w:pPr>
        <w:pStyle w:val="BodyText"/>
      </w:pPr>
      <w:r>
        <w:t xml:space="preserve">The review observed that the Dietitian maintained a collaborative approach with physicians, nurses, and other healthcare professionals. This multidisciplinary teamwork is vital in the Philippine healthcare system to ensure holistic patient care.</w:t>
      </w:r>
    </w:p>
    <w:bookmarkEnd w:id="24"/>
    <w:bookmarkEnd w:id="25"/>
    <w:bookmarkStart w:id="26" w:name="ethical-and-legal-compliance"/>
    <w:p>
      <w:pPr>
        <w:pStyle w:val="Heading2"/>
      </w:pPr>
      <w:r>
        <w:t xml:space="preserve">4. Ethical and Legal Compliance</w:t>
      </w:r>
    </w:p>
    <w:p>
      <w:pPr>
        <w:pStyle w:val="FirstParagraph"/>
      </w:pPr>
      <w:r>
        <w:t xml:space="preserve">Adherence to Republic Act No. 8749 (The Philippine Dietetics Act of 1999) was verified. The Dietitian operates within the scope of practice defined by the law, ensuring that only qualified professionals provide medical nutrition therapy.</w:t>
      </w:r>
    </w:p>
    <w:p>
      <w:pPr>
        <w:pStyle w:val="BodyText"/>
      </w:pPr>
      <w:r>
        <w:t xml:space="preserve">Patient confidentiality was strictly maintained in accordance with the Data Privacy Act of 2012. All patient records reviewed were anonymized appropriately, and consent procedures were documented correctly. The Dietitian demonstrated integrity in handling conflicts of interest, particularly regarding food product recommendations, ensuring that suggestions were based solely on nutritional merit rather than commercial incentives.</w:t>
      </w:r>
    </w:p>
    <w:bookmarkEnd w:id="26"/>
    <w:bookmarkStart w:id="27" w:name="Xd0201a9dcd136e6d0b667195a58bb32680fec99"/>
    <w:p>
      <w:pPr>
        <w:pStyle w:val="Heading2"/>
      </w:pPr>
      <w:r>
        <w:t xml:space="preserve">5. Cultural Competency and Community Engagement</w:t>
      </w:r>
    </w:p>
    <w:p>
      <w:pPr>
        <w:pStyle w:val="FirstParagraph"/>
      </w:pPr>
      <w:r>
        <w:t xml:space="preserve">A critical aspect of this Peer Review Report is the evaluation of cultural competency. Manila is a diverse city with varying socioeconomic statuses. The Dietitian showed a strong ability to communicate nutritional concepts in both English and Filipino (Tagalog), ensuring clear understanding across different patient demographics.</w:t>
      </w:r>
    </w:p>
    <w:p>
      <w:pPr>
        <w:pStyle w:val="BodyText"/>
      </w:pPr>
      <w:r>
        <w:t xml:space="preserve">The Dietitian was commended for addressing food insecurity issues prevalent in certain areas of Manila. By recommending locally available, affordable, and nutrient-dense foods (such as kangkong, malunggay, and local fish varieties), the Dietitian ensures that nutrition plans are sustainable for patients with limited financial resources. This practical approach distinguishes effective practice in the Philippines from theoretical models.</w:t>
      </w:r>
    </w:p>
    <w:bookmarkEnd w:id="27"/>
    <w:bookmarkStart w:id="28" w:name="documentation-and-quality-assurance"/>
    <w:p>
      <w:pPr>
        <w:pStyle w:val="Heading2"/>
      </w:pPr>
      <w:r>
        <w:t xml:space="preserve">6. Documentation and Quality Assurance</w:t>
      </w:r>
    </w:p>
    <w:p>
      <w:pPr>
        <w:pStyle w:val="FirstParagraph"/>
      </w:pPr>
      <w:r>
        <w:t xml:space="preserve">The review of clinical records indicated that documentation was thorough, timely, and accurate. The use of standardized nutrition care language facilitated clear communication among the healthcare team. However, it was noted that while digital record-keeping is improving, there is room for further integration of electronic health records (EHR) to streamline data analysis and patient tracking.</w:t>
      </w:r>
    </w:p>
    <w:bookmarkEnd w:id="28"/>
    <w:bookmarkStart w:id="29" w:name="recommendations"/>
    <w:p>
      <w:pPr>
        <w:pStyle w:val="Heading2"/>
      </w:pPr>
      <w:r>
        <w:t xml:space="preserve">7. Recommendations</w:t>
      </w:r>
    </w:p>
    <w:p>
      <w:pPr>
        <w:pStyle w:val="FirstParagraph"/>
      </w:pPr>
      <w:r>
        <w:t xml:space="preserve">Based on the findings of this Peer Review Report, the following recommendations are made to further enhance the practice of the Dietitian in Manila:</w:t>
      </w:r>
    </w:p>
    <w:p>
      <w:pPr>
        <w:numPr>
          <w:ilvl w:val="0"/>
          <w:numId w:val="1002"/>
        </w:numPr>
        <w:pStyle w:val="Compact"/>
      </w:pPr>
      <w:r>
        <w:rPr>
          <w:bCs/>
          <w:b/>
        </w:rPr>
        <w:t xml:space="preserve">Enhanced Digital Literacy:</w:t>
      </w:r>
      <w:r>
        <w:t xml:space="preserve"> </w:t>
      </w:r>
      <w:r>
        <w:t xml:space="preserve">Adopt advanced tele-nutrition platforms to reach patients in remote areas of Metro Manila, improving accessibility to care.</w:t>
      </w:r>
    </w:p>
    <w:p>
      <w:pPr>
        <w:numPr>
          <w:ilvl w:val="0"/>
          <w:numId w:val="1002"/>
        </w:numPr>
        <w:pStyle w:val="Compact"/>
      </w:pPr>
      <w:r>
        <w:rPr>
          <w:bCs/>
          <w:b/>
        </w:rPr>
        <w:t xml:space="preserve">Community Outreach:</w:t>
      </w:r>
      <w:r>
        <w:t xml:space="preserve"> </w:t>
      </w:r>
      <w:r>
        <w:t xml:space="preserve">Increase involvement in local barangay health programs to address preventive nutrition education, focusing on reducing sugar and salt intake in local diets.</w:t>
      </w:r>
    </w:p>
    <w:p>
      <w:pPr>
        <w:numPr>
          <w:ilvl w:val="0"/>
          <w:numId w:val="1002"/>
        </w:numPr>
        <w:pStyle w:val="Compact"/>
      </w:pPr>
      <w:r>
        <w:rPr>
          <w:bCs/>
          <w:b/>
        </w:rPr>
        <w:t xml:space="preserve">Continuing Professional Development:</w:t>
      </w:r>
      <w:r>
        <w:t xml:space="preserve"> </w:t>
      </w:r>
      <w:r>
        <w:t xml:space="preserve">Pursue specialized training in pediatric nutrition or sports nutrition to address emerging health needs in the region.</w:t>
      </w:r>
    </w:p>
    <w:bookmarkEnd w:id="29"/>
    <w:bookmarkStart w:id="30" w:name="conclusion"/>
    <w:p>
      <w:pPr>
        <w:pStyle w:val="Heading2"/>
      </w:pPr>
      <w:r>
        <w:t xml:space="preserve">8. Conclusion</w:t>
      </w:r>
    </w:p>
    <w:p>
      <w:pPr>
        <w:pStyle w:val="FirstParagraph"/>
      </w:pPr>
      <w:r>
        <w:t xml:space="preserve">This Peer Review Report concludes that the Dietitian under review maintains a high standard of professional practice consistent with the requirements of the Philippine Dietetic Association and the legal framework of the Philippines. The Dietitian’s ability to blend clinical expertise with cultural sensitivity makes them a valuable asset to the healthcare landscape in Manila. Continued commitment to professional development and community engagement will further solidify their impact on public health in the region.</w:t>
      </w:r>
    </w:p>
    <w:bookmarkEnd w:id="30"/>
    <w:bookmarkStart w:id="31" w:name="signatories"/>
    <w:p>
      <w:pPr>
        <w:pStyle w:val="Heading3"/>
      </w:pPr>
      <w:r>
        <w:t xml:space="preserve">Signatories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Name</w:t>
            </w:r>
          </w:p>
        </w:tc>
        <w:tc>
          <w:tcPr/>
          <w:p>
            <w:pPr>
              <w:pStyle w:val="Compact"/>
              <w:jc w:val="left"/>
            </w:pPr>
            <w:r>
              <w:t xml:space="preserve">Position</w:t>
            </w:r>
          </w:p>
        </w:tc>
        <w:tc>
          <w:tcPr/>
          <w:p>
            <w:pPr>
              <w:pStyle w:val="Compact"/>
              <w:jc w:val="left"/>
            </w:pPr>
            <w:r>
              <w:t xml:space="preserve">Signature</w:t>
            </w:r>
          </w:p>
        </w:tc>
      </w:tr>
      <w:tr>
        <w:tc>
          <w:tcPr/>
          <w:p>
            <w:pPr>
              <w:pStyle w:val="Compact"/>
              <w:jc w:val="left"/>
            </w:pPr>
            <w:r>
              <w:t xml:space="preserve">Dr. Maria Santos, RD, CNS</w:t>
            </w:r>
          </w:p>
        </w:tc>
        <w:tc>
          <w:tcPr/>
          <w:p>
            <w:pPr>
              <w:pStyle w:val="Compact"/>
              <w:jc w:val="left"/>
            </w:pPr>
            <w:r>
              <w:t xml:space="preserve">Lead Peer Reviewer</w:t>
            </w:r>
          </w:p>
        </w:tc>
        <w:tc>
          <w:tcPr/>
          <w:p>
            <w:pPr>
              <w:pStyle w:val="Compact"/>
              <w:jc w:val="left"/>
            </w:pPr>
            <w:r>
              <w:t xml:space="preserve">____________________</w:t>
            </w:r>
          </w:p>
        </w:tc>
      </w:tr>
      <w:tr>
        <w:tc>
          <w:tcPr/>
          <w:p>
            <w:pPr>
              <w:pStyle w:val="Compact"/>
              <w:jc w:val="left"/>
            </w:pPr>
            <w:r>
              <w:t xml:space="preserve">John Reyes, RD, FCD</w:t>
            </w:r>
          </w:p>
        </w:tc>
        <w:tc>
          <w:tcPr/>
          <w:p>
            <w:pPr>
              <w:pStyle w:val="Compact"/>
              <w:jc w:val="left"/>
            </w:pPr>
            <w:r>
              <w:t xml:space="preserve">Committee Chair</w:t>
            </w:r>
          </w:p>
        </w:tc>
        <w:tc>
          <w:tcPr/>
          <w:p>
            <w:pPr>
              <w:pStyle w:val="Compact"/>
              <w:jc w:val="left"/>
            </w:pPr>
            <w:r>
              <w:t xml:space="preserve">____________________</w:t>
            </w:r>
          </w:p>
        </w:tc>
      </w:tr>
    </w:tbl>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Dietitian Practice in Manila, Philippines</dc:title>
  <dc:creator/>
  <dc:language>en</dc:language>
  <cp:keywords/>
  <dcterms:created xsi:type="dcterms:W3CDTF">2026-10-10T03:16:08Z</dcterms:created>
  <dcterms:modified xsi:type="dcterms:W3CDTF">2026-10-10T03:16:08Z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