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Clinical Dietitian / Nutritionist</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Moscow, Russia</w:t>
      </w:r>
    </w:p>
    <w:p>
      <w:pPr>
        <w:pStyle w:val="BodyText"/>
      </w:pPr>
      <w:r>
        <w:rPr>
          <w:bCs/>
          <w:b/>
        </w:rPr>
        <w:t xml:space="preserve">Review ID:</w:t>
      </w:r>
      <w:r>
        <w:t xml:space="preserve"> </w:t>
      </w:r>
      <w:r>
        <w:t xml:space="preserve">MSK-DIET-2023-894</w:t>
      </w:r>
    </w:p>
    <w:p>
      <w:pPr>
        <w:pStyle w:val="BodyText"/>
      </w:pPr>
      <w:r>
        <w:rPr>
          <w:bCs/>
          <w:b/>
        </w:rPr>
        <w:t xml:space="preserve">Reviewer:</w:t>
      </w:r>
      <w:r>
        <w:t xml:space="preserve"> </w:t>
      </w:r>
      <w:r>
        <w:t xml:space="preserve">Dr. Elena Volkova, Senior Clinical Nutritionist</w:t>
      </w:r>
    </w:p>
    <w:p>
      <w:pPr>
        <w:pStyle w:val="BodyText"/>
      </w:pPr>
      <w:r>
        <w:rPr>
          <w:bCs/>
          <w:b/>
        </w:rPr>
        <w:t xml:space="preserve">Reviewee:</w:t>
      </w:r>
      <w:r>
        <w:t xml:space="preserve"> </w:t>
      </w:r>
      <w:r>
        <w:t xml:space="preserve">[Dietitian Name Redacted]</w:t>
      </w:r>
    </w:p>
    <w:p>
      <w:pPr>
        <w:pStyle w:val="BodyText"/>
      </w:pPr>
      <w:r>
        <w:rPr>
          <w:bCs/>
          <w:b/>
        </w:rPr>
        <w:t xml:space="preserve">Facility:</w:t>
      </w:r>
      <w:r>
        <w:t xml:space="preserve"> </w:t>
      </w:r>
      <w:r>
        <w:t xml:space="preserve">Central Clinical Hospital of Moscow</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a practicing</w:t>
      </w:r>
      <w:r>
        <w:t xml:space="preserve"> </w:t>
      </w:r>
      <w:r>
        <w:rPr>
          <w:bCs/>
          <w:b/>
        </w:rPr>
        <w:t xml:space="preserve">Dietitian</w:t>
      </w:r>
      <w:r>
        <w:t xml:space="preserve"> </w:t>
      </w:r>
      <w:r>
        <w:t xml:space="preserve">operating within the healthcare infrastructure of</w:t>
      </w:r>
      <w:r>
        <w:t xml:space="preserve"> </w:t>
      </w:r>
      <w:r>
        <w:rPr>
          <w:bCs/>
          <w:b/>
        </w:rPr>
        <w:t xml:space="preserve">Russia Moscow</w:t>
      </w:r>
      <w:r>
        <w:t xml:space="preserve">. The primary objective of this review was to assess the practitioner's adherence to the Federal Law "On the Fundamentals of Protection of the Health of Citizens in the Russian Federation" and the specific clinical guidelines established by the Ministry of Health of the Russian Federation. The review focuses on clinical decision-making, patient communication, nutritional assessment accuracy, and the integration of modern nutritional science into the specific cultural and dietary context of Moscow.</w:t>
      </w:r>
    </w:p>
    <w:bookmarkEnd w:id="21"/>
    <w:bookmarkStart w:id="22" w:name="scope-of-review"/>
    <w:p>
      <w:pPr>
        <w:pStyle w:val="Heading2"/>
      </w:pPr>
      <w:r>
        <w:t xml:space="preserve">2. Scope of Review</w:t>
      </w:r>
    </w:p>
    <w:p>
      <w:pPr>
        <w:pStyle w:val="FirstParagraph"/>
      </w:pPr>
      <w:r>
        <w:t xml:space="preserve">The scope of this evaluation covers a six-month period of clinical practice. The review analyzes case files, patient outcomes, and direct observation of consultations. Special attention was paid to the management of chronic non-communicable diseases prevalent in the Moscow region, including metabolic syndrome, type 2 diabetes, and cardiovascular disorders. The review also examines the</w:t>
      </w:r>
      <w:r>
        <w:t xml:space="preserve"> </w:t>
      </w:r>
      <w:r>
        <w:rPr>
          <w:bCs/>
          <w:b/>
        </w:rPr>
        <w:t xml:space="preserve">Dietitian</w:t>
      </w:r>
      <w:r>
        <w:t xml:space="preserve">'s ability to navigate the local food environment in</w:t>
      </w:r>
      <w:r>
        <w:t xml:space="preserve"> </w:t>
      </w:r>
      <w:r>
        <w:rPr>
          <w:bCs/>
          <w:b/>
        </w:rPr>
        <w:t xml:space="preserve">Russia Moscow</w:t>
      </w:r>
      <w:r>
        <w:t xml:space="preserve">, ensuring that dietary prescriptions are practical, culturally appropriate, and accessible to the local patient demographic.</w:t>
      </w:r>
    </w:p>
    <w:bookmarkEnd w:id="22"/>
    <w:bookmarkStart w:id="25" w:name="clinical-competency-and-methodology"/>
    <w:p>
      <w:pPr>
        <w:pStyle w:val="Heading2"/>
      </w:pPr>
      <w:r>
        <w:t xml:space="preserve">3. Clinical Competency and Methodology</w:t>
      </w:r>
    </w:p>
    <w:bookmarkStart w:id="23" w:name="nutritional-assessment"/>
    <w:p>
      <w:pPr>
        <w:pStyle w:val="Heading3"/>
      </w:pPr>
      <w:r>
        <w:t xml:space="preserve">3.1 Nutritional Assessment</w:t>
      </w:r>
    </w:p>
    <w:p>
      <w:pPr>
        <w:pStyle w:val="FirstParagraph"/>
      </w:pPr>
      <w:r>
        <w:t xml:space="preserve">The</w:t>
      </w:r>
      <w:r>
        <w:t xml:space="preserve"> </w:t>
      </w:r>
      <w:r>
        <w:rPr>
          <w:bCs/>
          <w:b/>
        </w:rPr>
        <w:t xml:space="preserve">Dietitian</w:t>
      </w:r>
      <w:r>
        <w:t xml:space="preserve"> </w:t>
      </w:r>
      <w:r>
        <w:t xml:space="preserve">demonstrated a high level of proficiency in conducting anthropometric measurements and biochemical analysis interpretation. The review confirmed that the practitioner consistently utilizes standardized tools for Body Mass Index (BMI) calculation and waist-to-hip ratio assessment. Furthermore, the integration of dietary history taking was thorough, accounting for the specific dietary habits common in Moscow, such as the consumption of traditional fermented products and seasonal variations in produce availability.</w:t>
      </w:r>
    </w:p>
    <w:bookmarkEnd w:id="23"/>
    <w:bookmarkStart w:id="24" w:name="treatment-planning"/>
    <w:p>
      <w:pPr>
        <w:pStyle w:val="Heading3"/>
      </w:pPr>
      <w:r>
        <w:t xml:space="preserve">3.2 Treatment Planning</w:t>
      </w:r>
    </w:p>
    <w:p>
      <w:pPr>
        <w:pStyle w:val="FirstParagraph"/>
      </w:pPr>
      <w:r>
        <w:t xml:space="preserve">Treatment plans were evaluated for their alignment with evidence-based guidelines. The</w:t>
      </w:r>
      <w:r>
        <w:t xml:space="preserve"> </w:t>
      </w:r>
      <w:r>
        <w:rPr>
          <w:bCs/>
          <w:b/>
        </w:rPr>
        <w:t xml:space="preserve">Dietitian</w:t>
      </w:r>
      <w:r>
        <w:t xml:space="preserve"> </w:t>
      </w:r>
      <w:r>
        <w:t xml:space="preserve">successfully tailored therapeutic diets (Pevzner diet systems adapted to modern standards) to individual patient needs. The review noted a commendable effort to move away from rigid historical protocols toward personalized nutrition strategies, which is a growing trend in medical nutrition therapy in</w:t>
      </w:r>
      <w:r>
        <w:t xml:space="preserve"> </w:t>
      </w:r>
      <w:r>
        <w:rPr>
          <w:bCs/>
          <w:b/>
        </w:rPr>
        <w:t xml:space="preserve">Russia Moscow</w:t>
      </w:r>
      <w:r>
        <w:t xml:space="preserve">.</w:t>
      </w:r>
    </w:p>
    <w:bookmarkEnd w:id="24"/>
    <w:bookmarkEnd w:id="25"/>
    <w:bookmarkStart w:id="26" w:name="regulatory-compliance-and-ethics"/>
    <w:p>
      <w:pPr>
        <w:pStyle w:val="Heading2"/>
      </w:pPr>
      <w:r>
        <w:t xml:space="preserve">4. Regulatory Compliance and Ethics</w:t>
      </w:r>
    </w:p>
    <w:p>
      <w:pPr>
        <w:pStyle w:val="FirstParagraph"/>
      </w:pPr>
      <w:r>
        <w:t xml:space="preserve">A critical component of this</w:t>
      </w:r>
      <w:r>
        <w:t xml:space="preserve"> </w:t>
      </w:r>
      <w:r>
        <w:rPr>
          <w:bCs/>
          <w:b/>
        </w:rPr>
        <w:t xml:space="preserve">Peer Review Report</w:t>
      </w:r>
      <w:r>
        <w:t xml:space="preserve"> </w:t>
      </w:r>
      <w:r>
        <w:t xml:space="preserve">is the assessment of regulatory compliance. The</w:t>
      </w:r>
      <w:r>
        <w:t xml:space="preserve"> </w:t>
      </w:r>
      <w:r>
        <w:rPr>
          <w:bCs/>
          <w:b/>
        </w:rPr>
        <w:t xml:space="preserve">Dietitian</w:t>
      </w:r>
      <w:r>
        <w:t xml:space="preserve"> </w:t>
      </w:r>
      <w:r>
        <w:t xml:space="preserve">was found to be fully compliant with the licensing requirements set forth by the Moscow Department of Health. Patient confidentiality was strictly maintained in accordance with Federal Law No. 152-FZ "On Personal Data." The review also assessed the ethical handling of nutritional supplements, ensuring that recommendations were based on clinical necessity rather than commercial interest, a vital consideration in the current market landscape of Moscow.</w:t>
      </w:r>
    </w:p>
    <w:bookmarkEnd w:id="26"/>
    <w:bookmarkStart w:id="27" w:name="Xe4e0c5880374dc3e94b4669e601072be157e53b"/>
    <w:p>
      <w:pPr>
        <w:pStyle w:val="Heading2"/>
      </w:pPr>
      <w:r>
        <w:t xml:space="preserve">5. Patient Communication and Cultural Competence</w:t>
      </w:r>
    </w:p>
    <w:p>
      <w:pPr>
        <w:pStyle w:val="FirstParagraph"/>
      </w:pPr>
      <w:r>
        <w:t xml:space="preserve">The effectiveness of a</w:t>
      </w:r>
      <w:r>
        <w:t xml:space="preserve"> </w:t>
      </w:r>
      <w:r>
        <w:rPr>
          <w:bCs/>
          <w:b/>
        </w:rPr>
        <w:t xml:space="preserve">Dietitian</w:t>
      </w:r>
      <w:r>
        <w:t xml:space="preserve"> </w:t>
      </w:r>
      <w:r>
        <w:t xml:space="preserve">is heavily reliant on their ability to communicate complex nutritional concepts clearly. The review observed that the practitioner excels in patient education, utilizing visual aids and clear language. Crucially, the</w:t>
      </w:r>
      <w:r>
        <w:t xml:space="preserve"> </w:t>
      </w:r>
      <w:r>
        <w:rPr>
          <w:bCs/>
          <w:b/>
        </w:rPr>
        <w:t xml:space="preserve">Dietitian</w:t>
      </w:r>
      <w:r>
        <w:t xml:space="preserve"> </w:t>
      </w:r>
      <w:r>
        <w:t xml:space="preserve">demonstrated strong cultural competence. In the context of</w:t>
      </w:r>
      <w:r>
        <w:t xml:space="preserve"> </w:t>
      </w:r>
      <w:r>
        <w:rPr>
          <w:bCs/>
          <w:b/>
        </w:rPr>
        <w:t xml:space="preserve">Russia Moscow</w:t>
      </w:r>
      <w:r>
        <w:t xml:space="preserve">, where traditional dietary patterns are deeply ingrained, the practitioner successfully negotiated dietary changes without alienating patients. For instance, rather than eliminating traditional staples entirely, the</w:t>
      </w:r>
      <w:r>
        <w:t xml:space="preserve"> </w:t>
      </w:r>
      <w:r>
        <w:rPr>
          <w:bCs/>
          <w:b/>
        </w:rPr>
        <w:t xml:space="preserve">Dietitian</w:t>
      </w:r>
      <w:r>
        <w:t xml:space="preserve"> </w:t>
      </w:r>
      <w:r>
        <w:t xml:space="preserve">suggested healthier preparation methods and portion control strategies, leading to higher patient adherence rates.</w:t>
      </w:r>
    </w:p>
    <w:bookmarkEnd w:id="27"/>
    <w:bookmarkStart w:id="28" w:name="performance-metrics"/>
    <w:p>
      <w:pPr>
        <w:pStyle w:val="Heading2"/>
      </w:pPr>
      <w:r>
        <w:t xml:space="preserve">6.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 Standard</w:t>
            </w:r>
          </w:p>
        </w:tc>
        <w:tc>
          <w:tcPr/>
          <w:p>
            <w:pPr>
              <w:pStyle w:val="Compact"/>
              <w:jc w:val="left"/>
            </w:pPr>
            <w:r>
              <w:t xml:space="preserve">Observed Performance</w:t>
            </w:r>
          </w:p>
        </w:tc>
        <w:tc>
          <w:tcPr/>
          <w:p>
            <w:pPr>
              <w:pStyle w:val="Compact"/>
              <w:jc w:val="left"/>
            </w:pPr>
            <w:r>
              <w:t xml:space="preserve">Rating</w:t>
            </w:r>
          </w:p>
        </w:tc>
      </w:tr>
      <w:tr>
        <w:tc>
          <w:tcPr/>
          <w:p>
            <w:pPr>
              <w:pStyle w:val="Compact"/>
              <w:jc w:val="left"/>
            </w:pPr>
            <w:r>
              <w:t xml:space="preserve">Patient Adherence Rate</w:t>
            </w:r>
          </w:p>
        </w:tc>
        <w:tc>
          <w:tcPr/>
          <w:p>
            <w:pPr>
              <w:pStyle w:val="Compact"/>
              <w:jc w:val="left"/>
            </w:pPr>
            <w:r>
              <w:t xml:space="preserve">&gt; 70%</w:t>
            </w:r>
          </w:p>
        </w:tc>
        <w:tc>
          <w:tcPr/>
          <w:p>
            <w:pPr>
              <w:pStyle w:val="Compact"/>
              <w:jc w:val="left"/>
            </w:pPr>
            <w:r>
              <w:t xml:space="preserve">78%</w:t>
            </w:r>
          </w:p>
        </w:tc>
        <w:tc>
          <w:tcPr/>
          <w:p>
            <w:pPr>
              <w:pStyle w:val="Compact"/>
              <w:jc w:val="left"/>
            </w:pPr>
            <w:r>
              <w:t xml:space="preserve">Excellent</w:t>
            </w:r>
          </w:p>
        </w:tc>
      </w:tr>
      <w:tr>
        <w:tc>
          <w:tcPr/>
          <w:p>
            <w:pPr>
              <w:pStyle w:val="Compact"/>
              <w:jc w:val="left"/>
            </w:pPr>
            <w:r>
              <w:t xml:space="preserve">Documentation Accuracy</w:t>
            </w:r>
          </w:p>
        </w:tc>
        <w:tc>
          <w:tcPr/>
          <w:p>
            <w:pPr>
              <w:pStyle w:val="Compact"/>
              <w:jc w:val="left"/>
            </w:pPr>
            <w:r>
              <w:t xml:space="preserve">100%</w:t>
            </w:r>
          </w:p>
        </w:tc>
        <w:tc>
          <w:tcPr/>
          <w:p>
            <w:pPr>
              <w:pStyle w:val="Compact"/>
              <w:jc w:val="left"/>
            </w:pPr>
            <w:r>
              <w:t xml:space="preserve">98%</w:t>
            </w:r>
          </w:p>
        </w:tc>
        <w:tc>
          <w:tcPr/>
          <w:p>
            <w:pPr>
              <w:pStyle w:val="Compact"/>
              <w:jc w:val="left"/>
            </w:pPr>
            <w:r>
              <w:t xml:space="preserve">Very Good</w:t>
            </w:r>
          </w:p>
        </w:tc>
      </w:tr>
      <w:tr>
        <w:tc>
          <w:tcPr/>
          <w:p>
            <w:pPr>
              <w:pStyle w:val="Compact"/>
              <w:jc w:val="left"/>
            </w:pPr>
            <w:r>
              <w:t xml:space="preserve">Guideline Adherence</w:t>
            </w:r>
          </w:p>
        </w:tc>
        <w:tc>
          <w:tcPr/>
          <w:p>
            <w:pPr>
              <w:pStyle w:val="Compact"/>
              <w:jc w:val="left"/>
            </w:pPr>
            <w:r>
              <w:t xml:space="preserve">Strict</w:t>
            </w:r>
          </w:p>
        </w:tc>
        <w:tc>
          <w:tcPr/>
          <w:p>
            <w:pPr>
              <w:pStyle w:val="Compact"/>
              <w:jc w:val="left"/>
            </w:pPr>
            <w:r>
              <w:t xml:space="preserve">Strict</w:t>
            </w:r>
          </w:p>
        </w:tc>
        <w:tc>
          <w:tcPr/>
          <w:p>
            <w:pPr>
              <w:pStyle w:val="Compact"/>
              <w:jc w:val="left"/>
            </w:pPr>
            <w:r>
              <w:t xml:space="preserve">Excellent</w:t>
            </w:r>
          </w:p>
        </w:tc>
      </w:tr>
      <w:tr>
        <w:tc>
          <w:tcPr/>
          <w:p>
            <w:pPr>
              <w:pStyle w:val="Compact"/>
              <w:jc w:val="left"/>
            </w:pPr>
            <w:r>
              <w:t xml:space="preserve">Interdisciplinary Collaboration</w:t>
            </w:r>
          </w:p>
        </w:tc>
        <w:tc>
          <w:tcPr/>
          <w:p>
            <w:pPr>
              <w:pStyle w:val="Compact"/>
              <w:jc w:val="left"/>
            </w:pPr>
            <w:r>
              <w:t xml:space="preserve">Active</w:t>
            </w:r>
          </w:p>
        </w:tc>
        <w:tc>
          <w:tcPr/>
          <w:p>
            <w:pPr>
              <w:pStyle w:val="Compact"/>
              <w:jc w:val="left"/>
            </w:pPr>
            <w:r>
              <w:t xml:space="preserve">Active</w:t>
            </w:r>
          </w:p>
        </w:tc>
        <w:tc>
          <w:tcPr/>
          <w:p>
            <w:pPr>
              <w:pStyle w:val="Compact"/>
              <w:jc w:val="left"/>
            </w:pPr>
            <w:r>
              <w:t xml:space="preserve">Good</w:t>
            </w:r>
          </w:p>
        </w:tc>
      </w:tr>
    </w:tbl>
    <w:bookmarkEnd w:id="28"/>
    <w:bookmarkStart w:id="29" w:name="areas-for-improvement"/>
    <w:p>
      <w:pPr>
        <w:pStyle w:val="Heading2"/>
      </w:pPr>
      <w:r>
        <w:t xml:space="preserve">7.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professional development. The</w:t>
      </w:r>
      <w:r>
        <w:t xml:space="preserve"> </w:t>
      </w:r>
      <w:r>
        <w:rPr>
          <w:bCs/>
          <w:b/>
        </w:rPr>
        <w:t xml:space="preserve">Dietitian</w:t>
      </w:r>
      <w:r>
        <w:t xml:space="preserve"> </w:t>
      </w:r>
      <w:r>
        <w:t xml:space="preserve">is encouraged to further integrate digital health tools and telemedicine platforms, which are rapidly expanding in</w:t>
      </w:r>
      <w:r>
        <w:t xml:space="preserve"> </w:t>
      </w:r>
      <w:r>
        <w:rPr>
          <w:bCs/>
          <w:b/>
        </w:rPr>
        <w:t xml:space="preserve">Russia Moscow</w:t>
      </w:r>
      <w:r>
        <w:t xml:space="preserve">. Additionally, there is an opportunity to deepen knowledge in sports nutrition, given the high demand for performance optimization in the Moscow fitness community. Enhancing collaboration with local endocrinologists and cardiologists could further streamline patient care pathways.</w:t>
      </w:r>
    </w:p>
    <w:bookmarkEnd w:id="29"/>
    <w:bookmarkStart w:id="30" w:name="conclusion-and-recommendation"/>
    <w:p>
      <w:pPr>
        <w:pStyle w:val="Heading2"/>
      </w:pPr>
      <w:r>
        <w:t xml:space="preserve">8.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Dietitian</w:t>
      </w:r>
      <w:r>
        <w:t xml:space="preserve"> </w:t>
      </w:r>
      <w:r>
        <w:t xml:space="preserve">has demonstrated exceptional clinical competence, ethical integrity, and cultural sensitivity. The practitioner is well-equipped to handle the diverse nutritional challenges presented by the population in</w:t>
      </w:r>
      <w:r>
        <w:t xml:space="preserve"> </w:t>
      </w:r>
      <w:r>
        <w:rPr>
          <w:bCs/>
          <w:b/>
        </w:rPr>
        <w:t xml:space="preserve">Russia Moscow</w:t>
      </w:r>
      <w:r>
        <w:t xml:space="preserve">. The review board recommends the renewal of the practitioner's clinical privileges and encourages continued professional development in digital health integration. This</w:t>
      </w:r>
      <w:r>
        <w:t xml:space="preserve"> </w:t>
      </w:r>
      <w:r>
        <w:rPr>
          <w:bCs/>
          <w:b/>
        </w:rPr>
        <w:t xml:space="preserve">Dietitian</w:t>
      </w:r>
      <w:r>
        <w:t xml:space="preserve"> </w:t>
      </w:r>
      <w:r>
        <w:t xml:space="preserve">serves as a model of best practice within the Moscow healthcare system.</w:t>
      </w:r>
    </w:p>
    <w:p>
      <w:pPr>
        <w:pStyle w:val="BodyText"/>
      </w:pPr>
      <w:r>
        <w:rPr>
          <w:bCs/>
          <w:b/>
        </w:rPr>
        <w:t xml:space="preserve">Reviewer Signature:</w:t>
      </w:r>
      <w:r>
        <w:br/>
      </w:r>
      <w:r>
        <w:t xml:space="preserve">Dr. Elena Volkova</w:t>
      </w:r>
      <w:r>
        <w:br/>
      </w:r>
      <w:r>
        <w:t xml:space="preserve">Senior Clinical Nutritionist</w:t>
      </w:r>
      <w:r>
        <w:br/>
      </w:r>
      <w:r>
        <w:t xml:space="preserve">Moscow Medical Association</w:t>
      </w:r>
    </w:p>
    <w:p>
      <w:pPr>
        <w:pStyle w:val="BodyText"/>
      </w:pPr>
      <w:r>
        <w:rPr>
          <w:bCs/>
          <w:b/>
        </w:rPr>
        <w:t xml:space="preserve">Reviewee Acknowledgement:</w:t>
      </w:r>
      <w:r>
        <w:br/>
      </w:r>
      <w:r>
        <w:t xml:space="preserve">[Signature]</w:t>
      </w:r>
      <w:r>
        <w:br/>
      </w:r>
      <w:r>
        <w:t xml:space="preserve">[Date]</w:t>
      </w:r>
    </w:p>
    <w:p>
      <w:pPr>
        <w:pStyle w:val="BodyText"/>
      </w:pPr>
      <w:r>
        <w:t xml:space="preserve">Confidential Document - For Internal Use Only. Generated for Peer Review Purposes in Moscow,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Moscow, Russia</dc:title>
  <dc:creator/>
  <dc:language>en</dc:language>
  <cp:keywords/>
  <dcterms:created xsi:type="dcterms:W3CDTF">2026-10-10T07:08:15Z</dcterms:created>
  <dcterms:modified xsi:type="dcterms:W3CDTF">2026-10-10T07:08:15Z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