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t xml:space="preserve">Professional Evaluation of Clinical Practice and Nutritional Counseling Standards</w:t>
      </w:r>
    </w:p>
    <w:bookmarkEnd w:id="20"/>
    <w:p>
      <w:pPr>
        <w:pStyle w:val="BodyText"/>
      </w:pPr>
      <w:r>
        <w:rPr>
          <w:bCs/>
          <w:b/>
        </w:rPr>
        <w:t xml:space="preserve">Subject:</w:t>
      </w:r>
      <w:r>
        <w:t xml:space="preserve"> </w:t>
      </w:r>
      <w:r>
        <w:t xml:space="preserve">Dietitian Professional Practice Review</w:t>
      </w:r>
    </w:p>
    <w:p>
      <w:pPr>
        <w:pStyle w:val="BodyText"/>
      </w:pPr>
      <w:r>
        <w:rPr>
          <w:bCs/>
          <w:b/>
        </w:rPr>
        <w:t xml:space="preserve">Location:</w:t>
      </w:r>
      <w:r>
        <w:t xml:space="preserve"> </w:t>
      </w:r>
      <w:r>
        <w:t xml:space="preserve">Turkey Ankara (Central Anatolia Region)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Ankara Regional Nutrition &amp; Dietetics Ethics Committee</w:t>
      </w:r>
    </w:p>
    <w:p>
      <w:pPr>
        <w:pStyle w:val="BodyText"/>
      </w:pPr>
      <w:r>
        <w:rPr>
          <w:bCs/>
          <w:b/>
        </w:rPr>
        <w:t xml:space="preserve">Review Type:</w:t>
      </w:r>
      <w:r>
        <w:t xml:space="preserve"> </w:t>
      </w:r>
      <w:r>
        <w:t xml:space="preserve">Comprehensive Clinical Audit</w:t>
      </w:r>
    </w:p>
    <w:p>
      <w:pPr>
        <w:pStyle w:val="BodyText"/>
      </w:pPr>
      <w:r>
        <w:rPr>
          <w:bCs/>
          <w:b/>
        </w:rPr>
        <w:t xml:space="preserve">Reference ID:</w:t>
      </w:r>
      <w:r>
        <w:t xml:space="preserve"> </w:t>
      </w:r>
      <w:r>
        <w:t xml:space="preserve">TR-ANK-DIET-2023-089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competency, ethical adherence, and clinical efficacy of a registered</w:t>
      </w:r>
      <w:r>
        <w:t xml:space="preserve"> </w:t>
      </w:r>
      <w:r>
        <w:rPr>
          <w:bCs/>
          <w:b/>
        </w:rPr>
        <w:t xml:space="preserve">Dietitian</w:t>
      </w:r>
      <w:r>
        <w:t xml:space="preserve"> </w:t>
      </w:r>
      <w:r>
        <w:t xml:space="preserve">operating within the metropolitan area of</w:t>
      </w:r>
      <w:r>
        <w:t xml:space="preserve"> </w:t>
      </w:r>
      <w:r>
        <w:rPr>
          <w:bCs/>
          <w:b/>
        </w:rPr>
        <w:t xml:space="preserve">Turkey Ankara</w:t>
      </w:r>
      <w:r>
        <w:t xml:space="preserve">. As the capital city of Turkey, Ankara hosts a diverse population with varying nutritional needs, ranging from traditional dietary patterns to modern lifestyle-related metabolic disorders. This review aims to ensure that the Dietitian’s practice aligns with the national standards set by the Turkish Ministry of Health and the Turkish Dietitians Association (Türk Diyetisyenler Derneği).</w:t>
      </w:r>
    </w:p>
    <w:p>
      <w:pPr>
        <w:pStyle w:val="BodyText"/>
      </w:pPr>
      <w:r>
        <w:t xml:space="preserve">The assessment covers patient case management, nutritional assessment methodologies, cultural sensitivity in dietary planning, and adherence to local health regulations. The findings indicate a generally high standard of care, with specific recommendations for improvement regarding the integration of emerging clinical guidelines for metabolic syndrome management prevalent in the Ankara region.</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retrospective analysis of 50 anonymized patient files managed by the</w:t>
      </w:r>
      <w:r>
        <w:t xml:space="preserve"> </w:t>
      </w:r>
      <w:r>
        <w:rPr>
          <w:bCs/>
          <w:b/>
        </w:rPr>
        <w:t xml:space="preserve">Dietitian</w:t>
      </w:r>
      <w:r>
        <w:t xml:space="preserve"> </w:t>
      </w:r>
      <w:r>
        <w:t xml:space="preserve">over the past twelve months. The review methodology included:</w:t>
      </w:r>
    </w:p>
    <w:p>
      <w:pPr>
        <w:numPr>
          <w:ilvl w:val="0"/>
          <w:numId w:val="1001"/>
        </w:numPr>
        <w:pStyle w:val="Compact"/>
      </w:pPr>
      <w:r>
        <w:rPr>
          <w:bCs/>
          <w:b/>
        </w:rPr>
        <w:t xml:space="preserve">Clinical Audit:</w:t>
      </w:r>
      <w:r>
        <w:t xml:space="preserve"> </w:t>
      </w:r>
      <w:r>
        <w:t xml:space="preserve">Verification of anthropometric measurements, biochemical data interpretation, and dietary history accuracy.</w:t>
      </w:r>
    </w:p>
    <w:p>
      <w:pPr>
        <w:numPr>
          <w:ilvl w:val="0"/>
          <w:numId w:val="1001"/>
        </w:numPr>
        <w:pStyle w:val="Compact"/>
      </w:pPr>
      <w:r>
        <w:rPr>
          <w:bCs/>
          <w:b/>
        </w:rPr>
        <w:t xml:space="preserve">Regulatory Compliance:</w:t>
      </w:r>
      <w:r>
        <w:t xml:space="preserve"> </w:t>
      </w:r>
      <w:r>
        <w:t xml:space="preserve">Ensuring the Dietitian adheres to the "Law on Dietitians and Nutritionists" (Diyetisyenler ve Beslenme Uzmanları Kanunu) applicable in</w:t>
      </w:r>
      <w:r>
        <w:t xml:space="preserve"> </w:t>
      </w:r>
      <w:r>
        <w:rPr>
          <w:bCs/>
          <w:b/>
        </w:rPr>
        <w:t xml:space="preserve">Turkey Ankara</w:t>
      </w:r>
      <w:r>
        <w:t xml:space="preserve">.</w:t>
      </w:r>
    </w:p>
    <w:p>
      <w:pPr>
        <w:numPr>
          <w:ilvl w:val="0"/>
          <w:numId w:val="1001"/>
        </w:numPr>
        <w:pStyle w:val="Compact"/>
      </w:pPr>
      <w:r>
        <w:rPr>
          <w:bCs/>
          <w:b/>
        </w:rPr>
        <w:t xml:space="preserve">Patient Outcome Analysis:</w:t>
      </w:r>
      <w:r>
        <w:t xml:space="preserve"> </w:t>
      </w:r>
      <w:r>
        <w:t xml:space="preserve">Reviewing weight management success rates, glycemic control improvements, and patient satisfaction surveys.</w:t>
      </w:r>
    </w:p>
    <w:p>
      <w:pPr>
        <w:numPr>
          <w:ilvl w:val="0"/>
          <w:numId w:val="1001"/>
        </w:numPr>
        <w:pStyle w:val="Compact"/>
      </w:pPr>
      <w:r>
        <w:rPr>
          <w:bCs/>
          <w:b/>
        </w:rPr>
        <w:t xml:space="preserve">Continuing Education:</w:t>
      </w:r>
      <w:r>
        <w:t xml:space="preserve"> </w:t>
      </w:r>
      <w:r>
        <w:t xml:space="preserve">Verification of ongoing professional development relevant to the Turkish healthcare landscape.</w:t>
      </w:r>
    </w:p>
    <w:bookmarkEnd w:id="22"/>
    <w:bookmarkStart w:id="23" w:name="Xfef92e5040fe9e17a28ab68427008f52748aecd"/>
    <w:p>
      <w:pPr>
        <w:pStyle w:val="Heading2"/>
      </w:pPr>
      <w:r>
        <w:t xml:space="preserve">3. Clinical Competency and Nutritional Assessment</w:t>
      </w:r>
    </w:p>
    <w:p>
      <w:pPr>
        <w:pStyle w:val="FirstParagraph"/>
      </w:pPr>
      <w:r>
        <w:t xml:space="preserve">The</w:t>
      </w:r>
      <w:r>
        <w:t xml:space="preserve"> </w:t>
      </w:r>
      <w:r>
        <w:rPr>
          <w:bCs/>
          <w:b/>
        </w:rPr>
        <w:t xml:space="preserve">Dietitian</w:t>
      </w:r>
      <w:r>
        <w:t xml:space="preserve"> </w:t>
      </w:r>
      <w:r>
        <w:t xml:space="preserve">demonstrated a robust understanding of clinical nutrition principles. In the context of</w:t>
      </w:r>
      <w:r>
        <w:t xml:space="preserve"> </w:t>
      </w:r>
      <w:r>
        <w:rPr>
          <w:bCs/>
          <w:b/>
        </w:rPr>
        <w:t xml:space="preserve">Turkey Ankara</w:t>
      </w:r>
      <w:r>
        <w:t xml:space="preserve">, where lifestyle diseases such as type 2 diabetes and hypertension are rising due to urbanization, the Dietitian’s ability to tailor interventions is critical. The review found that the Dietitian consistently utilizes standardized tools for Body Mass Index (BMI), waist circumference, and body composition analysis.</w:t>
      </w:r>
    </w:p>
    <w:p>
      <w:pPr>
        <w:pStyle w:val="BodyText"/>
      </w:pPr>
      <w:r>
        <w:t xml:space="preserve">However, the</w:t>
      </w:r>
      <w:r>
        <w:t xml:space="preserve"> </w:t>
      </w:r>
      <w:r>
        <w:rPr>
          <w:bCs/>
          <w:b/>
        </w:rPr>
        <w:t xml:space="preserve">Peer Review Report</w:t>
      </w:r>
      <w:r>
        <w:t xml:space="preserve"> </w:t>
      </w:r>
      <w:r>
        <w:t xml:space="preserve">notes that while the clinical assessments are thorough, there is room for improvement in the documentation of micronutrient status, particularly Vitamin D and Iron, which are common deficiencies in the Turkish population. The Dietitian is advised to incorporate more frequent screening for these specific deficiencies in their standard operating procedures.</w:t>
      </w:r>
    </w:p>
    <w:bookmarkEnd w:id="23"/>
    <w:bookmarkStart w:id="24" w:name="cultural-adaptation-and-dietary-planning"/>
    <w:p>
      <w:pPr>
        <w:pStyle w:val="Heading2"/>
      </w:pPr>
      <w:r>
        <w:t xml:space="preserve">4. Cultural Adaptation and Dietary Planning</w:t>
      </w:r>
    </w:p>
    <w:p>
      <w:pPr>
        <w:pStyle w:val="FirstParagraph"/>
      </w:pPr>
      <w:r>
        <w:t xml:space="preserve">A key aspect of this review was the evaluation of how the</w:t>
      </w:r>
      <w:r>
        <w:t xml:space="preserve"> </w:t>
      </w:r>
      <w:r>
        <w:rPr>
          <w:bCs/>
          <w:b/>
        </w:rPr>
        <w:t xml:space="preserve">Dietitian</w:t>
      </w:r>
      <w:r>
        <w:t xml:space="preserve"> </w:t>
      </w:r>
      <w:r>
        <w:t xml:space="preserve">adapts nutritional plans to the local culture of</w:t>
      </w:r>
      <w:r>
        <w:t xml:space="preserve"> </w:t>
      </w:r>
      <w:r>
        <w:rPr>
          <w:bCs/>
          <w:b/>
        </w:rPr>
        <w:t xml:space="preserve">Turkey Ankara</w:t>
      </w:r>
      <w:r>
        <w:t xml:space="preserve">. Ankara has a rich culinary heritage, including dishes like "Ankara Tava" and various dairy-based products. The review commends the Dietitian for creating realistic meal plans that incorporate traditional Turkish foods rather than imposing foreign dietary models that patients are unlikely to sustain.</w:t>
      </w:r>
    </w:p>
    <w:p>
      <w:pPr>
        <w:pStyle w:val="BodyText"/>
      </w:pPr>
      <w:r>
        <w:t xml:space="preserve">The</w:t>
      </w:r>
      <w:r>
        <w:t xml:space="preserve"> </w:t>
      </w:r>
      <w:r>
        <w:rPr>
          <w:bCs/>
          <w:b/>
        </w:rPr>
        <w:t xml:space="preserve">Peer Review Report</w:t>
      </w:r>
      <w:r>
        <w:t xml:space="preserve"> </w:t>
      </w:r>
      <w:r>
        <w:t xml:space="preserve">highlights that the Dietitian effectively educates patients on portion control regarding high-calorie traditional foods. This cultural competence is vital for long-term adherence. The Dietitian successfully navigates the balance between respecting local food traditions and promoting health, which is a significant challenge in the Ankara healthcare environment.</w:t>
      </w:r>
    </w:p>
    <w:bookmarkEnd w:id="24"/>
    <w:bookmarkStart w:id="25" w:name="X4ce211acb8b02978b825403f312638d11fa1afd"/>
    <w:p>
      <w:pPr>
        <w:pStyle w:val="Heading2"/>
      </w:pPr>
      <w:r>
        <w:t xml:space="preserve">5. Ethical Standards and Professional Conduct</w:t>
      </w:r>
    </w:p>
    <w:p>
      <w:pPr>
        <w:pStyle w:val="FirstParagraph"/>
      </w:pPr>
      <w:r>
        <w:t xml:space="preserve">Adherence to ethical guidelines is paramount for any</w:t>
      </w:r>
      <w:r>
        <w:t xml:space="preserve"> </w:t>
      </w:r>
      <w:r>
        <w:rPr>
          <w:bCs/>
          <w:b/>
        </w:rPr>
        <w:t xml:space="preserve">Dietitian</w:t>
      </w:r>
      <w:r>
        <w:t xml:space="preserve">. This</w:t>
      </w:r>
      <w:r>
        <w:t xml:space="preserve"> </w:t>
      </w:r>
      <w:r>
        <w:rPr>
          <w:bCs/>
          <w:b/>
        </w:rPr>
        <w:t xml:space="preserve">Peer Review Report</w:t>
      </w:r>
      <w:r>
        <w:t xml:space="preserve"> </w:t>
      </w:r>
      <w:r>
        <w:t xml:space="preserve">confirms that the subject maintains strict patient confidentiality and obtains informed consent prior to initiating treatment plans. The Dietitian operates within the legal boundaries defined by the Turkish Ministry of Health, ensuring that they do not prescribe medications but rather collaborate effectively with physicians in Ankara hospitals and clinics.</w:t>
      </w:r>
    </w:p>
    <w:p>
      <w:pPr>
        <w:pStyle w:val="BodyText"/>
      </w:pPr>
      <w:r>
        <w:t xml:space="preserve">The review also assessed the Dietitian’s marketing practices. It was found that all public communications and social media content are evidence-based and do not make unsubstantiated health claims, which is a common issue in the unregulated wellness sector. This professionalism upholds the reputation of the dietetics profession in</w:t>
      </w:r>
      <w:r>
        <w:t xml:space="preserve"> </w:t>
      </w:r>
      <w:r>
        <w:rPr>
          <w:bCs/>
          <w:b/>
        </w:rPr>
        <w:t xml:space="preserve">Turkey Ankara</w:t>
      </w:r>
      <w:r>
        <w:t xml:space="preserve">.</w:t>
      </w:r>
    </w:p>
    <w:bookmarkEnd w:id="25"/>
    <w:bookmarkStart w:id="26" w:name="recommendations-and-action-plan"/>
    <w:p>
      <w:pPr>
        <w:pStyle w:val="Heading2"/>
      </w:pPr>
      <w:r>
        <w:t xml:space="preserve">6. Recommendations and Action Plan</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Dietitian</w:t>
      </w:r>
      <w:r>
        <w:t xml:space="preserve"> </w:t>
      </w:r>
      <w:r>
        <w:t xml:space="preserve">to enhance their practice in</w:t>
      </w:r>
      <w:r>
        <w:t xml:space="preserve"> </w:t>
      </w:r>
      <w:r>
        <w:rPr>
          <w:bCs/>
          <w:b/>
        </w:rPr>
        <w:t xml:space="preserve">Turkey Ankara</w:t>
      </w:r>
      <w:r>
        <w:t xml:space="preserve">:</w:t>
      </w:r>
    </w:p>
    <w:p>
      <w:pPr>
        <w:numPr>
          <w:ilvl w:val="0"/>
          <w:numId w:val="1002"/>
        </w:numPr>
        <w:pStyle w:val="Compact"/>
      </w:pPr>
      <w:r>
        <w:rPr>
          <w:bCs/>
          <w:b/>
        </w:rPr>
        <w:t xml:space="preserve">Enhanced Micronutrient Screening:</w:t>
      </w:r>
      <w:r>
        <w:t xml:space="preserve"> </w:t>
      </w:r>
      <w:r>
        <w:t xml:space="preserve">Implement routine screening protocols for Vitamin D and Iron deficiency anemia, considering the demographic profile of Ankara residents.</w:t>
      </w:r>
    </w:p>
    <w:p>
      <w:pPr>
        <w:numPr>
          <w:ilvl w:val="0"/>
          <w:numId w:val="1002"/>
        </w:numPr>
        <w:pStyle w:val="Compact"/>
      </w:pPr>
      <w:r>
        <w:rPr>
          <w:bCs/>
          <w:b/>
        </w:rPr>
        <w:t xml:space="preserve">Interdisciplinary Collaboration:</w:t>
      </w:r>
      <w:r>
        <w:t xml:space="preserve"> </w:t>
      </w:r>
      <w:r>
        <w:t xml:space="preserve">Strengthen referral pathways with endocrinologists and cardiologists in Ankara to manage complex metabolic cases more effectively.</w:t>
      </w:r>
    </w:p>
    <w:p>
      <w:pPr>
        <w:numPr>
          <w:ilvl w:val="0"/>
          <w:numId w:val="1002"/>
        </w:numPr>
        <w:pStyle w:val="Compact"/>
      </w:pPr>
      <w:r>
        <w:rPr>
          <w:bCs/>
          <w:b/>
        </w:rPr>
        <w:t xml:space="preserve">Digital Health Integration:</w:t>
      </w:r>
      <w:r>
        <w:t xml:space="preserve"> </w:t>
      </w:r>
      <w:r>
        <w:t xml:space="preserve">Adopt digital tools for remote patient monitoring, which can improve follow-up rates for patients living in the outskirts of the Ankara metropolitan area.</w:t>
      </w:r>
    </w:p>
    <w:p>
      <w:pPr>
        <w:numPr>
          <w:ilvl w:val="0"/>
          <w:numId w:val="1002"/>
        </w:numPr>
        <w:pStyle w:val="Compact"/>
      </w:pPr>
      <w:r>
        <w:rPr>
          <w:bCs/>
          <w:b/>
        </w:rPr>
        <w:t xml:space="preserve">Community Outreach:</w:t>
      </w:r>
      <w:r>
        <w:t xml:space="preserve"> </w:t>
      </w:r>
      <w:r>
        <w:t xml:space="preserve">Engage in local health awareness campaigns to educate the public on the difference between a certified Dietitian and unqualified nutrition advisors.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Dietitian</w:t>
      </w:r>
      <w:r>
        <w:t xml:space="preserve"> </w:t>
      </w:r>
      <w:r>
        <w:t xml:space="preserve">under review provides a high standard of care that is clinically sound, culturally appropriate, and ethically compliant. Their practice contributes positively to the public health landscape of</w:t>
      </w:r>
      <w:r>
        <w:t xml:space="preserve"> </w:t>
      </w:r>
      <w:r>
        <w:rPr>
          <w:bCs/>
          <w:b/>
        </w:rPr>
        <w:t xml:space="preserve">Turkey Ankara</w:t>
      </w:r>
      <w:r>
        <w:t xml:space="preserve">. By implementing the recommended improvements, particularly in micronutrient management and interdisciplinary collaboration, the Dietitian will further elevate their professional standing and patient outcomes. The reviewing committee recommends the renewal of the Dietitian’s professional accreditation for the next review cycle.</w:t>
      </w:r>
    </w:p>
    <w:p>
      <w:pPr>
        <w:pStyle w:val="BodyText"/>
      </w:pPr>
      <w:r>
        <w:rPr>
          <w:bCs/>
          <w:b/>
        </w:rPr>
        <w:t xml:space="preserve">Reviewed By:</w:t>
      </w:r>
    </w:p>
    <w:p>
      <w:pPr>
        <w:pStyle w:val="BodyText"/>
      </w:pPr>
      <w:r>
        <w:t xml:space="preserve">Dr. Elif Yılmaz</w:t>
      </w:r>
    </w:p>
    <w:p>
      <w:pPr>
        <w:pStyle w:val="BodyText"/>
      </w:pPr>
      <w:r>
        <w:t xml:space="preserve">Senior Clinical Dietitian</w:t>
      </w:r>
    </w:p>
    <w:p>
      <w:pPr>
        <w:pStyle w:val="BodyText"/>
      </w:pPr>
      <w:r>
        <w:t xml:space="preserve">Ankara Regional Ethics Committee</w:t>
      </w:r>
    </w:p>
    <w:p>
      <w:pPr>
        <w:pStyle w:val="BodyText"/>
      </w:pPr>
      <w:r>
        <w:rPr>
          <w:bCs/>
          <w:b/>
        </w:rPr>
        <w:t xml:space="preserve">Approved By:</w:t>
      </w:r>
    </w:p>
    <w:p>
      <w:pPr>
        <w:pStyle w:val="BodyText"/>
      </w:pPr>
      <w:r>
        <w:t xml:space="preserve">Prof. Dr. Mehmet Kaya</w:t>
      </w:r>
    </w:p>
    <w:p>
      <w:pPr>
        <w:pStyle w:val="BodyText"/>
      </w:pPr>
      <w:r>
        <w:t xml:space="preserve">Head of Nutrition Department</w:t>
      </w:r>
    </w:p>
    <w:p>
      <w:pPr>
        <w:pStyle w:val="BodyText"/>
      </w:pPr>
      <w:r>
        <w:t xml:space="preserve">Turkish Dietitians Association - Ankara Branch</w:t>
      </w:r>
    </w:p>
    <w:p>
      <w:pPr>
        <w:pStyle w:val="BodyText"/>
      </w:pPr>
      <w:r>
        <w:t xml:space="preserve">This document is confidential and intended solely for the use of the individual or entity to whom it is addressed.</w:t>
      </w:r>
      <w:r>
        <w:t xml:space="preserve"> </w:t>
      </w:r>
      <w:r>
        <w:t xml:space="preserve">Generated for Peer Review purposes in accordance with Turkish Health Regulations.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Turkey Ankara</dc:title>
  <dc:creator/>
  <dc:language>en</dc:language>
  <cp:keywords/>
  <dcterms:created xsi:type="dcterms:W3CDTF">2026-10-10T01:22:57Z</dcterms:created>
  <dcterms:modified xsi:type="dcterms:W3CDTF">2026-10-10T01:22:57Z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