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t xml:space="preserve">Subject:</w:t>
      </w:r>
      <w:r>
        <w:t xml:space="preserve"> </w:t>
      </w:r>
      <w:r>
        <w:rPr>
          <w:bCs/>
          <w:b/>
        </w:rPr>
        <w:t xml:space="preserve">Diplomat</w:t>
      </w:r>
      <w:r>
        <w:t xml:space="preserve"> </w:t>
      </w:r>
      <w:r>
        <w:t xml:space="preserve">| Location:</w:t>
      </w:r>
      <w:r>
        <w:t xml:space="preserve"> </w:t>
      </w:r>
      <w:r>
        <w:rPr>
          <w:bCs/>
          <w:b/>
        </w:rPr>
        <w:t xml:space="preserve">Italy Milan</w:t>
      </w:r>
    </w:p>
    <w:p>
      <w:pPr>
        <w:pStyle w:val="BodyText"/>
      </w:pPr>
      <w:r>
        <w:rPr>
          <w:bCs/>
          <w:b/>
        </w:rPr>
        <w:t xml:space="preserve">Report ID:</w:t>
      </w:r>
      <w:r>
        <w:t xml:space="preserve"> </w:t>
      </w:r>
      <w:r>
        <w:t xml:space="preserve">PR-2023-MIL-DIP-001</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p>
      <w:pPr>
        <w:pStyle w:val="BodyText"/>
      </w:pP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w:t>
      </w:r>
      <w:r>
        <w:t xml:space="preserve"> </w:t>
      </w:r>
      <w:r>
        <w:rPr>
          <w:bCs/>
          <w:b/>
        </w:rPr>
        <w:t xml:space="preserve">Diplomat</w:t>
      </w:r>
      <w:r>
        <w:t xml:space="preserve"> </w:t>
      </w:r>
      <w:r>
        <w:t xml:space="preserve">initiative as it pertains to its operational deployment and strategic alignment within</w:t>
      </w:r>
      <w:r>
        <w:t xml:space="preserve"> </w:t>
      </w:r>
      <w:r>
        <w:rPr>
          <w:bCs/>
          <w:b/>
        </w:rPr>
        <w:t xml:space="preserve">Italy Milan</w:t>
      </w:r>
      <w:r>
        <w:t xml:space="preserve">. The review was conducted by a cross-functional panel of experts to assess the efficacy, cultural integration, and technical robustness of the Diplomat framework in this specific geographic and socio-economic context.</w:t>
      </w:r>
    </w:p>
    <w:p>
      <w:pPr>
        <w:pStyle w:val="BodyText"/>
      </w:pPr>
      <w:r>
        <w:t xml:space="preserve">The primary objective of this assessment is to determine whether the</w:t>
      </w:r>
      <w:r>
        <w:t xml:space="preserve"> </w:t>
      </w:r>
      <w:r>
        <w:rPr>
          <w:bCs/>
          <w:b/>
        </w:rPr>
        <w:t xml:space="preserve">Diplomat</w:t>
      </w:r>
      <w:r>
        <w:t xml:space="preserve"> </w:t>
      </w:r>
      <w:r>
        <w:t xml:space="preserve">protocols meet the rigorous standards required for high-level engagement in</w:t>
      </w:r>
      <w:r>
        <w:t xml:space="preserve"> </w:t>
      </w:r>
      <w:r>
        <w:rPr>
          <w:bCs/>
          <w:b/>
        </w:rPr>
        <w:t xml:space="preserve">Italy Milan</w:t>
      </w:r>
      <w:r>
        <w:t xml:space="preserve">. The findings indicate that while the core architecture of</w:t>
      </w:r>
      <w:r>
        <w:t xml:space="preserve"> </w:t>
      </w:r>
      <w:r>
        <w:rPr>
          <w:bCs/>
          <w:b/>
        </w:rPr>
        <w:t xml:space="preserve">Diplomat</w:t>
      </w:r>
      <w:r>
        <w:t xml:space="preserve"> </w:t>
      </w:r>
      <w:r>
        <w:t xml:space="preserve">is sound, specific adaptations are necessary to fully leverage the unique opportunities presented by the Milanese market and regulatory environment.</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three critical dimensions:</w:t>
      </w:r>
    </w:p>
    <w:p>
      <w:pPr>
        <w:numPr>
          <w:ilvl w:val="0"/>
          <w:numId w:val="1001"/>
        </w:numPr>
        <w:pStyle w:val="Compact"/>
      </w:pPr>
      <w:r>
        <w:rPr>
          <w:bCs/>
          <w:b/>
        </w:rPr>
        <w:t xml:space="preserve">Operational Viability:</w:t>
      </w:r>
      <w:r>
        <w:t xml:space="preserve"> </w:t>
      </w:r>
      <w:r>
        <w:t xml:space="preserve">Assessing the logistical feasibility of implementing</w:t>
      </w:r>
      <w:r>
        <w:t xml:space="preserve"> </w:t>
      </w:r>
      <w:r>
        <w:rPr>
          <w:bCs/>
          <w:b/>
        </w:rPr>
        <w:t xml:space="preserve">Diplomat</w:t>
      </w:r>
      <w:r>
        <w:t xml:space="preserve"> </w:t>
      </w:r>
      <w:r>
        <w:t xml:space="preserve">services in</w:t>
      </w:r>
      <w:r>
        <w:t xml:space="preserve"> </w:t>
      </w:r>
      <w:r>
        <w:rPr>
          <w:bCs/>
          <w:b/>
        </w:rPr>
        <w:t xml:space="preserve">Italy Milan</w:t>
      </w:r>
      <w:r>
        <w:t xml:space="preserve">.</w:t>
      </w:r>
    </w:p>
    <w:p>
      <w:pPr>
        <w:numPr>
          <w:ilvl w:val="0"/>
          <w:numId w:val="1001"/>
        </w:numPr>
        <w:pStyle w:val="Compact"/>
      </w:pPr>
      <w:r>
        <w:rPr>
          <w:bCs/>
          <w:b/>
        </w:rPr>
        <w:t xml:space="preserve">Cultural and Regulatory Compliance:</w:t>
      </w:r>
      <w:r>
        <w:t xml:space="preserve"> </w:t>
      </w:r>
      <w:r>
        <w:t xml:space="preserve">Evaluating adherence to Italian laws and local business etiquette specific to Milan.</w:t>
      </w:r>
    </w:p>
    <w:p>
      <w:pPr>
        <w:numPr>
          <w:ilvl w:val="0"/>
          <w:numId w:val="1001"/>
        </w:numPr>
        <w:pStyle w:val="Compact"/>
      </w:pPr>
      <w:r>
        <w:rPr>
          <w:bCs/>
          <w:b/>
        </w:rPr>
        <w:t xml:space="preserve">Stakeholder Impact:</w:t>
      </w:r>
      <w:r>
        <w:t xml:space="preserve"> </w:t>
      </w:r>
      <w:r>
        <w:t xml:space="preserve">Analyzing the reception of</w:t>
      </w:r>
      <w:r>
        <w:t xml:space="preserve"> </w:t>
      </w:r>
      <w:r>
        <w:rPr>
          <w:bCs/>
          <w:b/>
        </w:rPr>
        <w:t xml:space="preserve">Diplomat</w:t>
      </w:r>
      <w:r>
        <w:t xml:space="preserve"> </w:t>
      </w:r>
      <w:r>
        <w:t xml:space="preserve">among local partners, government entities, and end-users in</w:t>
      </w:r>
      <w:r>
        <w:t xml:space="preserve"> </w:t>
      </w:r>
      <w:r>
        <w:rPr>
          <w:bCs/>
          <w:b/>
        </w:rPr>
        <w:t xml:space="preserve">Italy Milan</w:t>
      </w:r>
      <w:r>
        <w:t xml:space="preserve">.</w:t>
      </w:r>
    </w:p>
    <w:p>
      <w:pPr>
        <w:pStyle w:val="FirstParagraph"/>
      </w:pPr>
      <w:r>
        <w:t xml:space="preserve">Data was collected through stakeholder interviews, site inspections in the</w:t>
      </w:r>
      <w:r>
        <w:t xml:space="preserve"> </w:t>
      </w:r>
      <w:r>
        <w:rPr>
          <w:bCs/>
          <w:b/>
        </w:rPr>
        <w:t xml:space="preserve">Italy Milan</w:t>
      </w:r>
      <w:r>
        <w:t xml:space="preserve"> </w:t>
      </w:r>
      <w:r>
        <w:t xml:space="preserve">metropolitan area, and a comparative analysis of</w:t>
      </w:r>
      <w:r>
        <w:t xml:space="preserve"> </w:t>
      </w:r>
      <w:r>
        <w:rPr>
          <w:bCs/>
          <w:b/>
        </w:rPr>
        <w:t xml:space="preserve">Diplomat</w:t>
      </w:r>
      <w:r>
        <w:t xml:space="preserve"> </w:t>
      </w:r>
      <w:r>
        <w:t xml:space="preserve">performance metrics against regional benchmarks.</w:t>
      </w:r>
    </w:p>
    <w:bookmarkEnd w:id="22"/>
    <w:bookmarkStart w:id="27" w:name="detailed-findings"/>
    <w:p>
      <w:pPr>
        <w:pStyle w:val="Heading2"/>
      </w:pPr>
      <w:r>
        <w:t xml:space="preserve">3. Detailed Findings</w:t>
      </w:r>
    </w:p>
    <w:bookmarkStart w:id="23" w:name="strategic-alignment-with-italy-milan"/>
    <w:p>
      <w:pPr>
        <w:pStyle w:val="Heading3"/>
      </w:pPr>
      <w:r>
        <w:t xml:space="preserve">3.1 Strategic Alignment with Italy Milan</w:t>
      </w:r>
    </w:p>
    <w:p>
      <w:pPr>
        <w:pStyle w:val="FirstParagraph"/>
      </w:pPr>
      <w:r>
        <w:rPr>
          <w:bCs/>
          <w:b/>
        </w:rPr>
        <w:t xml:space="preserve">Italy Milan</w:t>
      </w:r>
      <w:r>
        <w:t xml:space="preserve"> </w:t>
      </w:r>
      <w:r>
        <w:t xml:space="preserve">serves as a global hub for finance, fashion, and technology. The</w:t>
      </w:r>
      <w:r>
        <w:t xml:space="preserve"> </w:t>
      </w:r>
      <w:r>
        <w:rPr>
          <w:bCs/>
          <w:b/>
        </w:rPr>
        <w:t xml:space="preserve">Diplomat</w:t>
      </w:r>
      <w:r>
        <w:t xml:space="preserve"> </w:t>
      </w:r>
      <w:r>
        <w:t xml:space="preserve">initiative demonstrates a strong understanding of this landscape. The review found that the branding and positioning of</w:t>
      </w:r>
      <w:r>
        <w:t xml:space="preserve"> </w:t>
      </w:r>
      <w:r>
        <w:rPr>
          <w:bCs/>
          <w:b/>
        </w:rPr>
        <w:t xml:space="preserve">Diplomat</w:t>
      </w:r>
      <w:r>
        <w:t xml:space="preserve"> </w:t>
      </w:r>
      <w:r>
        <w:t xml:space="preserve">resonate well with the sophisticated demographic of</w:t>
      </w:r>
      <w:r>
        <w:t xml:space="preserve"> </w:t>
      </w:r>
      <w:r>
        <w:rPr>
          <w:bCs/>
          <w:b/>
        </w:rPr>
        <w:t xml:space="preserve">Italy Milan</w:t>
      </w:r>
      <w:r>
        <w:t xml:space="preserve">. However, the</w:t>
      </w:r>
      <w:r>
        <w:t xml:space="preserve"> </w:t>
      </w:r>
      <w:r>
        <w:rPr>
          <w:bCs/>
          <w:b/>
        </w:rPr>
        <w:t xml:space="preserve">Peer Review Report</w:t>
      </w:r>
      <w:r>
        <w:t xml:space="preserve"> </w:t>
      </w:r>
      <w:r>
        <w:t xml:space="preserve">notes that the current communication strategy lacks sufficient localization. While English is widely spoken in business sectors in Milan, the absence of nuanced Italian language support in the</w:t>
      </w:r>
      <w:r>
        <w:t xml:space="preserve"> </w:t>
      </w:r>
      <w:r>
        <w:rPr>
          <w:bCs/>
          <w:b/>
        </w:rPr>
        <w:t xml:space="preserve">Diplomat</w:t>
      </w:r>
      <w:r>
        <w:t xml:space="preserve"> </w:t>
      </w:r>
      <w:r>
        <w:t xml:space="preserve">interface may hinder deeper penetration into local government and traditional corporate sectors.</w:t>
      </w:r>
    </w:p>
    <w:bookmarkEnd w:id="23"/>
    <w:bookmarkStart w:id="24" w:name="technical-infrastructure-and-performance"/>
    <w:p>
      <w:pPr>
        <w:pStyle w:val="Heading3"/>
      </w:pPr>
      <w:r>
        <w:t xml:space="preserve">3.2 Technical Infrastructure and Performance</w:t>
      </w:r>
    </w:p>
    <w:p>
      <w:pPr>
        <w:pStyle w:val="FirstParagraph"/>
      </w:pPr>
      <w:r>
        <w:t xml:space="preserve">From a technical standpoint, the</w:t>
      </w:r>
      <w:r>
        <w:t xml:space="preserve"> </w:t>
      </w:r>
      <w:r>
        <w:rPr>
          <w:bCs/>
          <w:b/>
        </w:rPr>
        <w:t xml:space="preserve">Diplomat</w:t>
      </w:r>
      <w:r>
        <w:t xml:space="preserve"> </w:t>
      </w:r>
      <w:r>
        <w:t xml:space="preserve">platform exhibits high stability. Latency tests conducted from servers located in</w:t>
      </w:r>
      <w:r>
        <w:t xml:space="preserve"> </w:t>
      </w:r>
      <w:r>
        <w:rPr>
          <w:bCs/>
          <w:b/>
        </w:rPr>
        <w:t xml:space="preserve">Italy Milan</w:t>
      </w:r>
      <w:r>
        <w:t xml:space="preserve"> </w:t>
      </w:r>
      <w:r>
        <w:t xml:space="preserve">showed response times well within acceptable limits. The architecture supports the high-volume data processing required for diplomatic and corporate exchanges typical of the region.</w:t>
      </w:r>
    </w:p>
    <w:p>
      <w:pPr>
        <w:pStyle w:val="BodyText"/>
      </w:pPr>
      <w:r>
        <w:t xml:space="preserve">However, the</w:t>
      </w:r>
      <w:r>
        <w:t xml:space="preserve"> </w:t>
      </w:r>
      <w:r>
        <w:rPr>
          <w:bCs/>
          <w:b/>
        </w:rPr>
        <w:t xml:space="preserve">Peer Review Report</w:t>
      </w:r>
      <w:r>
        <w:t xml:space="preserve"> </w:t>
      </w:r>
      <w:r>
        <w:t xml:space="preserve">highlights a critical need for enhanced data sovereignty measures. Given the strict GDPR regulations enforced in Italy, the</w:t>
      </w:r>
      <w:r>
        <w:t xml:space="preserve"> </w:t>
      </w:r>
      <w:r>
        <w:rPr>
          <w:bCs/>
          <w:b/>
        </w:rPr>
        <w:t xml:space="preserve">Diplomat</w:t>
      </w:r>
      <w:r>
        <w:t xml:space="preserve"> </w:t>
      </w:r>
      <w:r>
        <w:t xml:space="preserve">system must ensure that all data generated within</w:t>
      </w:r>
      <w:r>
        <w:t xml:space="preserve"> </w:t>
      </w:r>
      <w:r>
        <w:rPr>
          <w:bCs/>
          <w:b/>
        </w:rPr>
        <w:t xml:space="preserve">Italy Milan</w:t>
      </w:r>
      <w:r>
        <w:t xml:space="preserve"> </w:t>
      </w:r>
      <w:r>
        <w:t xml:space="preserve">is stored and processed in compliance with local jurisdictional requirements. Currently, the data routing protocols require refinement to guarantee this compliance unequivocally.</w:t>
      </w:r>
    </w:p>
    <w:bookmarkEnd w:id="24"/>
    <w:bookmarkStart w:id="25" w:name="user-experience-and-interface-design"/>
    <w:p>
      <w:pPr>
        <w:pStyle w:val="Heading3"/>
      </w:pPr>
      <w:r>
        <w:t xml:space="preserve">3.3 User Experience and Interface Design</w:t>
      </w:r>
    </w:p>
    <w:p>
      <w:pPr>
        <w:pStyle w:val="FirstParagraph"/>
      </w:pPr>
      <w:r>
        <w:t xml:space="preserve">The user interface of</w:t>
      </w:r>
      <w:r>
        <w:t xml:space="preserve"> </w:t>
      </w:r>
      <w:r>
        <w:rPr>
          <w:bCs/>
          <w:b/>
        </w:rPr>
        <w:t xml:space="preserve">Diplomat</w:t>
      </w:r>
      <w:r>
        <w:t xml:space="preserve"> </w:t>
      </w:r>
      <w:r>
        <w:t xml:space="preserve">is clean and intuitive, reflecting a modern design aesthetic that appeals to the tech-savvy population of</w:t>
      </w:r>
      <w:r>
        <w:t xml:space="preserve"> </w:t>
      </w:r>
      <w:r>
        <w:rPr>
          <w:bCs/>
          <w:b/>
        </w:rPr>
        <w:t xml:space="preserve">Italy Milan</w:t>
      </w:r>
      <w:r>
        <w:t xml:space="preserve">. The navigation flow is logical, and the visual hierarchy is effective.</w:t>
      </w:r>
    </w:p>
    <w:p>
      <w:pPr>
        <w:pStyle w:val="BodyText"/>
      </w:pPr>
      <w:r>
        <w:t xml:space="preserve">Nevertheless, the</w:t>
      </w:r>
      <w:r>
        <w:t xml:space="preserve"> </w:t>
      </w:r>
      <w:r>
        <w:rPr>
          <w:bCs/>
          <w:b/>
        </w:rPr>
        <w:t xml:space="preserve">Peer Review Report</w:t>
      </w:r>
      <w:r>
        <w:t xml:space="preserve"> </w:t>
      </w:r>
      <w:r>
        <w:t xml:space="preserve">suggests improvements in accessibility features. To fully serve the diverse population of</w:t>
      </w:r>
      <w:r>
        <w:t xml:space="preserve"> </w:t>
      </w:r>
      <w:r>
        <w:rPr>
          <w:bCs/>
          <w:b/>
        </w:rPr>
        <w:t xml:space="preserve">Italy Milan</w:t>
      </w:r>
      <w:r>
        <w:t xml:space="preserve">, including older demographics and individuals with disabilities, the</w:t>
      </w:r>
      <w:r>
        <w:t xml:space="preserve"> </w:t>
      </w:r>
      <w:r>
        <w:rPr>
          <w:bCs/>
          <w:b/>
        </w:rPr>
        <w:t xml:space="preserve">Diplomat</w:t>
      </w:r>
      <w:r>
        <w:t xml:space="preserve"> </w:t>
      </w:r>
      <w:r>
        <w:t xml:space="preserve">interface should be updated to meet WCAG 2.1 AA standards more rigorously. Additionally, the integration of local payment methods popular in Italy, such as Satispay or specific bank transfers, would significantly enhance the user experience for local clients.</w:t>
      </w:r>
    </w:p>
    <w:bookmarkEnd w:id="25"/>
    <w:bookmarkStart w:id="26" w:name="security-and-risk-management"/>
    <w:p>
      <w:pPr>
        <w:pStyle w:val="Heading3"/>
      </w:pPr>
      <w:r>
        <w:t xml:space="preserve">3.4 Security and Risk Management</w:t>
      </w:r>
    </w:p>
    <w:p>
      <w:pPr>
        <w:pStyle w:val="FirstParagraph"/>
      </w:pPr>
      <w:r>
        <w:t xml:space="preserve">Security is paramount for any initiative labeled</w:t>
      </w:r>
      <w:r>
        <w:t xml:space="preserve"> </w:t>
      </w:r>
      <w:r>
        <w:rPr>
          <w:bCs/>
          <w:b/>
        </w:rPr>
        <w:t xml:space="preserve">Diplomat</w:t>
      </w:r>
      <w:r>
        <w:t xml:space="preserve">. The review confirms that encryption standards are robust. However, the threat landscape in</w:t>
      </w:r>
      <w:r>
        <w:t xml:space="preserve"> </w:t>
      </w:r>
      <w:r>
        <w:rPr>
          <w:bCs/>
          <w:b/>
        </w:rPr>
        <w:t xml:space="preserve">Italy Milan</w:t>
      </w:r>
      <w:r>
        <w:t xml:space="preserve"> </w:t>
      </w:r>
      <w:r>
        <w:t xml:space="preserve">includes sophisticated cyber threats targeting financial and diplomatic entities. The</w:t>
      </w:r>
      <w:r>
        <w:t xml:space="preserve"> </w:t>
      </w:r>
      <w:r>
        <w:rPr>
          <w:bCs/>
          <w:b/>
        </w:rPr>
        <w:t xml:space="preserve">Peer Review Report</w:t>
      </w:r>
      <w:r>
        <w:t xml:space="preserve"> </w:t>
      </w:r>
      <w:r>
        <w:t xml:space="preserve">recommends implementing a localized threat intelligence module within</w:t>
      </w:r>
      <w:r>
        <w:t xml:space="preserve"> </w:t>
      </w:r>
      <w:r>
        <w:rPr>
          <w:bCs/>
          <w:b/>
        </w:rPr>
        <w:t xml:space="preserve">Diplomat</w:t>
      </w:r>
      <w:r>
        <w:t xml:space="preserve"> </w:t>
      </w:r>
      <w:r>
        <w:t xml:space="preserve">to detect and mitigate region-specific cyber risks in real-time.</w:t>
      </w:r>
    </w:p>
    <w:bookmarkEnd w:id="26"/>
    <w:bookmarkEnd w:id="27"/>
    <w:bookmarkStart w:id="28" w:name="evaluation-matrix"/>
    <w:p>
      <w:pPr>
        <w:pStyle w:val="Heading2"/>
      </w:pPr>
      <w:r>
        <w:t xml:space="preserve">4. Evaluation Matrix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Assessment</w:t>
            </w:r>
          </w:p>
        </w:tc>
        <w:tc>
          <w:tcPr/>
          <w:p>
            <w:pPr>
              <w:pStyle w:val="Compact"/>
              <w:jc w:val="left"/>
            </w:pPr>
            <w:r>
              <w:t xml:space="preserve">Score</w:t>
            </w:r>
          </w:p>
        </w:tc>
      </w:tr>
      <w:tr>
        <w:tc>
          <w:tcPr/>
          <w:p>
            <w:pPr>
              <w:pStyle w:val="Compact"/>
              <w:jc w:val="left"/>
            </w:pPr>
            <w:r>
              <w:t xml:space="preserve">Market Fit in Italy Milan</w:t>
            </w:r>
          </w:p>
        </w:tc>
        <w:tc>
          <w:tcPr/>
          <w:p>
            <w:pPr>
              <w:pStyle w:val="Compact"/>
              <w:jc w:val="left"/>
            </w:pPr>
            <w:r>
              <w:t xml:space="preserve">Strong alignment with business culture; needs linguistic localization.</w:t>
            </w:r>
          </w:p>
        </w:tc>
        <w:tc>
          <w:tcPr/>
          <w:p>
            <w:pPr>
              <w:pStyle w:val="Compact"/>
              <w:jc w:val="left"/>
            </w:pPr>
            <w:r>
              <w:t xml:space="preserve">8/10</w:t>
            </w:r>
          </w:p>
        </w:tc>
      </w:tr>
      <w:tr>
        <w:tc>
          <w:tcPr/>
          <w:p>
            <w:pPr>
              <w:pStyle w:val="Compact"/>
              <w:jc w:val="left"/>
            </w:pPr>
            <w:r>
              <w:t xml:space="preserve">Regulatory Compliance (GDPR/Italy)</w:t>
            </w:r>
          </w:p>
        </w:tc>
        <w:tc>
          <w:tcPr/>
          <w:p>
            <w:pPr>
              <w:pStyle w:val="Compact"/>
              <w:jc w:val="left"/>
            </w:pPr>
            <w:r>
              <w:t xml:space="preserve">Generally compliant; data residency protocols need tightening.</w:t>
            </w:r>
          </w:p>
        </w:tc>
        <w:tc>
          <w:tcPr/>
          <w:p>
            <w:pPr>
              <w:pStyle w:val="Compact"/>
              <w:jc w:val="left"/>
            </w:pPr>
            <w:r>
              <w:t xml:space="preserve">7/10</w:t>
            </w:r>
          </w:p>
        </w:tc>
      </w:tr>
      <w:tr>
        <w:tc>
          <w:tcPr/>
          <w:p>
            <w:pPr>
              <w:pStyle w:val="Compact"/>
              <w:jc w:val="left"/>
            </w:pPr>
            <w:r>
              <w:t xml:space="preserve">Technical Performance</w:t>
            </w:r>
          </w:p>
        </w:tc>
        <w:tc>
          <w:tcPr/>
          <w:p>
            <w:pPr>
              <w:pStyle w:val="Compact"/>
              <w:jc w:val="left"/>
            </w:pPr>
            <w:r>
              <w:t xml:space="preserve">Excellent uptime and speed within Milan infrastructure.</w:t>
            </w:r>
          </w:p>
        </w:tc>
        <w:tc>
          <w:tcPr/>
          <w:p>
            <w:pPr>
              <w:pStyle w:val="Compact"/>
              <w:jc w:val="left"/>
            </w:pPr>
            <w:r>
              <w:t xml:space="preserve">9/10</w:t>
            </w:r>
          </w:p>
        </w:tc>
      </w:tr>
      <w:tr>
        <w:tc>
          <w:tcPr/>
          <w:p>
            <w:pPr>
              <w:pStyle w:val="Compact"/>
              <w:jc w:val="left"/>
            </w:pPr>
            <w:r>
              <w:t xml:space="preserve">User Experience (UX)</w:t>
            </w:r>
          </w:p>
        </w:tc>
        <w:tc>
          <w:tcPr/>
          <w:p>
            <w:pPr>
              <w:pStyle w:val="Compact"/>
              <w:jc w:val="left"/>
            </w:pPr>
            <w:r>
              <w:t xml:space="preserve">Modern design; lacks local payment integrations and accessibility depth.</w:t>
            </w:r>
          </w:p>
        </w:tc>
        <w:tc>
          <w:tcPr/>
          <w:p>
            <w:pPr>
              <w:pStyle w:val="Compact"/>
              <w:jc w:val="left"/>
            </w:pPr>
            <w:r>
              <w:t xml:space="preserve">7.5/10</w:t>
            </w:r>
          </w:p>
        </w:tc>
      </w:tr>
      <w:tr>
        <w:tc>
          <w:tcPr/>
          <w:p>
            <w:pPr>
              <w:pStyle w:val="Compact"/>
              <w:jc w:val="left"/>
            </w:pPr>
            <w:r>
              <w:t xml:space="preserve">Security Posture</w:t>
            </w:r>
          </w:p>
        </w:tc>
        <w:tc>
          <w:tcPr/>
          <w:p>
            <w:pPr>
              <w:pStyle w:val="Compact"/>
              <w:jc w:val="left"/>
            </w:pPr>
            <w:r>
              <w:t xml:space="preserve">High encryption standards; requires localized threat intelligence.</w:t>
            </w:r>
          </w:p>
        </w:tc>
        <w:tc>
          <w:tcPr/>
          <w:p>
            <w:pPr>
              <w:pStyle w:val="Compact"/>
              <w:jc w:val="left"/>
            </w:pPr>
            <w:r>
              <w:t xml:space="preserve">8.5/10</w:t>
            </w:r>
          </w:p>
        </w:tc>
      </w:tr>
    </w:tbl>
    <w:bookmarkEnd w:id="28"/>
    <w:bookmarkStart w:id="29"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actions are recommended to optimize the</w:t>
      </w:r>
      <w:r>
        <w:t xml:space="preserve"> </w:t>
      </w:r>
      <w:r>
        <w:rPr>
          <w:bCs/>
          <w:b/>
        </w:rPr>
        <w:t xml:space="preserve">Diplomat</w:t>
      </w:r>
      <w:r>
        <w:t xml:space="preserve"> </w:t>
      </w:r>
      <w:r>
        <w:t xml:space="preserve">initiative for</w:t>
      </w:r>
      <w:r>
        <w:t xml:space="preserve"> </w:t>
      </w:r>
      <w:r>
        <w:rPr>
          <w:bCs/>
          <w:b/>
        </w:rPr>
        <w:t xml:space="preserve">Italy Milan</w:t>
      </w:r>
      <w:r>
        <w:t xml:space="preserve">:</w:t>
      </w:r>
    </w:p>
    <w:p>
      <w:pPr>
        <w:numPr>
          <w:ilvl w:val="0"/>
          <w:numId w:val="1002"/>
        </w:numPr>
        <w:pStyle w:val="Compact"/>
      </w:pPr>
      <w:r>
        <w:rPr>
          <w:bCs/>
          <w:b/>
        </w:rPr>
        <w:t xml:space="preserve">Localization Strategy:</w:t>
      </w:r>
      <w:r>
        <w:t xml:space="preserve"> </w:t>
      </w:r>
      <w:r>
        <w:t xml:space="preserve">Implement full Italian language support, including legal terminology specific to</w:t>
      </w:r>
      <w:r>
        <w:t xml:space="preserve"> </w:t>
      </w:r>
      <w:r>
        <w:rPr>
          <w:bCs/>
          <w:b/>
        </w:rPr>
        <w:t xml:space="preserve">Italy Milan</w:t>
      </w:r>
      <w:r>
        <w:t xml:space="preserve">, to build trust with local stakeholders.</w:t>
      </w:r>
    </w:p>
    <w:p>
      <w:pPr>
        <w:numPr>
          <w:ilvl w:val="0"/>
          <w:numId w:val="1002"/>
        </w:numPr>
        <w:pStyle w:val="Compact"/>
      </w:pPr>
      <w:r>
        <w:rPr>
          <w:bCs/>
          <w:b/>
        </w:rPr>
        <w:t xml:space="preserve">Data Residency:</w:t>
      </w:r>
      <w:r>
        <w:t xml:space="preserve"> </w:t>
      </w:r>
      <w:r>
        <w:t xml:space="preserve">Establish local data centers or partnerships in</w:t>
      </w:r>
      <w:r>
        <w:t xml:space="preserve"> </w:t>
      </w:r>
      <w:r>
        <w:rPr>
          <w:bCs/>
          <w:b/>
        </w:rPr>
        <w:t xml:space="preserve">Italy Milan</w:t>
      </w:r>
      <w:r>
        <w:t xml:space="preserve"> </w:t>
      </w:r>
      <w:r>
        <w:t xml:space="preserve">to ensure strict adherence to Italian data protection laws.</w:t>
      </w:r>
    </w:p>
    <w:p>
      <w:pPr>
        <w:numPr>
          <w:ilvl w:val="0"/>
          <w:numId w:val="1002"/>
        </w:numPr>
        <w:pStyle w:val="Compact"/>
      </w:pPr>
      <w:r>
        <w:rPr>
          <w:bCs/>
          <w:b/>
        </w:rPr>
        <w:t xml:space="preserve">Payment Integration:</w:t>
      </w:r>
      <w:r>
        <w:t xml:space="preserve"> </w:t>
      </w:r>
      <w:r>
        <w:t xml:space="preserve">Integrate local payment gateways widely used in Italy to reduce friction for local users.</w:t>
      </w:r>
    </w:p>
    <w:p>
      <w:pPr>
        <w:numPr>
          <w:ilvl w:val="0"/>
          <w:numId w:val="1002"/>
        </w:numPr>
        <w:pStyle w:val="Compact"/>
      </w:pPr>
      <w:r>
        <w:rPr>
          <w:bCs/>
          <w:b/>
        </w:rPr>
        <w:t xml:space="preserve">Security Enhancement:</w:t>
      </w:r>
      <w:r>
        <w:t xml:space="preserve"> </w:t>
      </w:r>
      <w:r>
        <w:t xml:space="preserve">Deploy a region-specific cybersecurity module to address threats prevalent in the</w:t>
      </w:r>
      <w:r>
        <w:t xml:space="preserve"> </w:t>
      </w:r>
      <w:r>
        <w:rPr>
          <w:bCs/>
          <w:b/>
        </w:rPr>
        <w:t xml:space="preserve">Italy Milan</w:t>
      </w:r>
      <w:r>
        <w:t xml:space="preserve"> </w:t>
      </w:r>
      <w:r>
        <w:t xml:space="preserve">area.</w:t>
      </w:r>
    </w:p>
    <w:p>
      <w:pPr>
        <w:numPr>
          <w:ilvl w:val="0"/>
          <w:numId w:val="1002"/>
        </w:numPr>
        <w:pStyle w:val="Compact"/>
      </w:pPr>
      <w:r>
        <w:rPr>
          <w:bCs/>
          <w:b/>
        </w:rPr>
        <w:t xml:space="preserve">Stakeholder Engagement:</w:t>
      </w:r>
      <w:r>
        <w:t xml:space="preserve"> </w:t>
      </w:r>
      <w:r>
        <w:t xml:space="preserve">Organize workshops in</w:t>
      </w:r>
      <w:r>
        <w:t xml:space="preserve"> </w:t>
      </w:r>
      <w:r>
        <w:rPr>
          <w:bCs/>
          <w:b/>
        </w:rPr>
        <w:t xml:space="preserve">Italy Milan</w:t>
      </w:r>
      <w:r>
        <w:t xml:space="preserve"> </w:t>
      </w:r>
      <w:r>
        <w:t xml:space="preserve">to gather direct feedback from local government and business leaders regarding the</w:t>
      </w:r>
      <w:r>
        <w:t xml:space="preserve"> </w:t>
      </w:r>
      <w:r>
        <w:rPr>
          <w:bCs/>
          <w:b/>
        </w:rPr>
        <w:t xml:space="preserve">Diplomat</w:t>
      </w:r>
      <w:r>
        <w:t xml:space="preserve"> </w:t>
      </w:r>
      <w:r>
        <w:t xml:space="preserve">framework.</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Diplomat</w:t>
      </w:r>
      <w:r>
        <w:t xml:space="preserve"> </w:t>
      </w:r>
      <w:r>
        <w:t xml:space="preserve">initiative holds significant promise for success in</w:t>
      </w:r>
      <w:r>
        <w:t xml:space="preserve"> </w:t>
      </w:r>
      <w:r>
        <w:rPr>
          <w:bCs/>
          <w:b/>
        </w:rPr>
        <w:t xml:space="preserve">Italy Milan</w:t>
      </w:r>
      <w:r>
        <w:t xml:space="preserve">. The foundation is strong, and the strategic vision aligns well with the region's ambitions. However, to transition from a viable concept to a market leader,</w:t>
      </w:r>
      <w:r>
        <w:t xml:space="preserve"> </w:t>
      </w:r>
      <w:r>
        <w:rPr>
          <w:bCs/>
          <w:b/>
        </w:rPr>
        <w:t xml:space="preserve">Diplomat</w:t>
      </w:r>
      <w:r>
        <w:t xml:space="preserve"> </w:t>
      </w:r>
      <w:r>
        <w:t xml:space="preserve">must address the specific cultural, regulatory, and technical nuances of</w:t>
      </w:r>
      <w:r>
        <w:t xml:space="preserve"> </w:t>
      </w:r>
      <w:r>
        <w:rPr>
          <w:bCs/>
          <w:b/>
        </w:rPr>
        <w:t xml:space="preserve">Italy Milan</w:t>
      </w:r>
      <w:r>
        <w:t xml:space="preserve">. By implementing the recommendations outlined in this report,</w:t>
      </w:r>
      <w:r>
        <w:t xml:space="preserve"> </w:t>
      </w:r>
      <w:r>
        <w:rPr>
          <w:bCs/>
          <w:b/>
        </w:rPr>
        <w:t xml:space="preserve">Diplomat</w:t>
      </w:r>
      <w:r>
        <w:t xml:space="preserve"> </w:t>
      </w:r>
      <w:r>
        <w:t xml:space="preserve">can achieve seamless integration and long-term sustainability in this critical European hub.</w:t>
      </w:r>
    </w:p>
    <w:bookmarkEnd w:id="30"/>
    <w:p>
      <w:pPr>
        <w:pStyle w:val="BodyText"/>
      </w:pPr>
      <w:r>
        <w:t xml:space="preserve">© 2023 Peer Review Committee. All rights reserved. | Document Classification: Internal Use Only</w:t>
      </w:r>
    </w:p>
    <w:p>
      <w:pPr>
        <w:pStyle w:val="BodyText"/>
      </w:pPr>
      <w:r>
        <w:t xml:space="preserve">Generated for the assessment of Diplomat operations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Italy Milan</dc:title>
  <dc:creator/>
  <dc:language>en</dc:language>
  <cp:keywords/>
  <dcterms:created xsi:type="dcterms:W3CDTF">2026-10-10T02:04:04Z</dcterms:created>
  <dcterms:modified xsi:type="dcterms:W3CDTF">2026-10-10T02:04:04Z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