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Turkey</w:t>
      </w:r>
      <w:r>
        <w:t xml:space="preserve"> </w:t>
      </w:r>
      <w:r>
        <w:t xml:space="preserve">Istanbul</w:t>
      </w:r>
    </w:p>
    <w:bookmarkStart w:id="20" w:name="X0212b5813af8274a8dbfb8c7389a2e80c7e0df8"/>
    <w:p>
      <w:pPr>
        <w:pStyle w:val="Heading1"/>
      </w:pPr>
      <w:r>
        <w:t xml:space="preserve">Peer Review Report: Diplomat in Turkey Istanbul</w:t>
      </w:r>
    </w:p>
    <w:p>
      <w:pPr>
        <w:pStyle w:val="FirstParagraph"/>
      </w:pPr>
      <w:r>
        <w:rPr>
          <w:bCs/>
          <w:b/>
        </w:rPr>
        <w:t xml:space="preserve">Date:</w:t>
      </w:r>
      <w:r>
        <w:t xml:space="preserve"> </w:t>
      </w:r>
      <w:r>
        <w:t xml:space="preserve">October 2023</w:t>
      </w:r>
    </w:p>
    <w:p>
      <w:pPr>
        <w:pStyle w:val="BodyText"/>
      </w:pPr>
      <w:r>
        <w:rPr>
          <w:bCs/>
          <w:b/>
        </w:rPr>
        <w:t xml:space="preserve">Prepared by:</w:t>
      </w:r>
      <w:r>
        <w:t xml:space="preserve"> </w:t>
      </w:r>
      <w:r>
        <w:t xml:space="preserve">[Your Name]</w:t>
      </w:r>
    </w:p>
    <w:p>
      <w:pPr>
        <w:pStyle w:val="BodyText"/>
      </w:pPr>
      <w:r>
        <w:rPr>
          <w:bCs/>
          <w:b/>
        </w:rPr>
        <w:t xml:space="preserve">Subject:</w:t>
      </w:r>
      <w:r>
        <w:t xml:space="preserve"> </w:t>
      </w:r>
      <w:r>
        <w:t xml:space="preserve">Comprehensive Evaluation of Diplomat's Performance and Impact in Turkey Istanbul</w:t>
      </w:r>
    </w:p>
    <w:bookmarkEnd w:id="20"/>
    <w:bookmarkStart w:id="21" w:name="introduction"/>
    <w:p>
      <w:pPr>
        <w:pStyle w:val="Heading2"/>
      </w:pPr>
      <w:r>
        <w:t xml:space="preserve">Introduction</w:t>
      </w:r>
    </w:p>
    <w:p>
      <w:pPr>
        <w:pStyle w:val="FirstParagraph"/>
      </w:pPr>
      <w:r>
        <w:t xml:space="preserve">This Peer Review Report provides an in-depth analysis of Diplomat's operations, strategies, and outcomes within the context of Turkey Istanbul. As a pivotal hub for international diplomacy, trade, and cultural exchange, Turkey Istanbul presents unique opportunities and challenges for any diplomatic entity. This report aims to assess Diplomat's effectiveness, adaptability, and contributions to fostering positive relations and achieving strategic objectives in this dynamic region.</w:t>
      </w:r>
    </w:p>
    <w:bookmarkEnd w:id="21"/>
    <w:bookmarkStart w:id="22" w:name="background-and-context"/>
    <w:p>
      <w:pPr>
        <w:pStyle w:val="Heading2"/>
      </w:pPr>
      <w:r>
        <w:t xml:space="preserve">Background and Context</w:t>
      </w:r>
    </w:p>
    <w:p>
      <w:pPr>
        <w:pStyle w:val="FirstParagraph"/>
      </w:pPr>
      <w:r>
        <w:t xml:space="preserve">Turkey Istanbul, with its rich history and strategic location bridging Europe and Asia, serves as a critical node for global diplomacy. The city's diverse population, robust economy, and geopolitical significance make it an ideal setting for Diplomat to engage with local stakeholders, international partners, and governmental bodies. Understanding the socio-political landscape, cultural nuances, and economic drivers of Turkey Istanbul is essential for evaluating Diplomat's performance.</w:t>
      </w:r>
    </w:p>
    <w:bookmarkEnd w:id="22"/>
    <w:bookmarkStart w:id="23" w:name="X4e7176f5e9d06401457235e1f87eaa03b6a67d0"/>
    <w:p>
      <w:pPr>
        <w:pStyle w:val="Heading2"/>
      </w:pPr>
      <w:r>
        <w:t xml:space="preserve">Key Objectives of Diplomat in Turkey Istanbul</w:t>
      </w:r>
    </w:p>
    <w:p>
      <w:pPr>
        <w:pStyle w:val="FirstParagraph"/>
      </w:pPr>
      <w:r>
        <w:t xml:space="preserve">Diplomat's primary objectives in Turkey Istanbul include:</w:t>
      </w:r>
    </w:p>
    <w:p>
      <w:pPr>
        <w:numPr>
          <w:ilvl w:val="0"/>
          <w:numId w:val="1001"/>
        </w:numPr>
        <w:pStyle w:val="Compact"/>
      </w:pPr>
      <w:r>
        <w:t xml:space="preserve">Strengthening bilateral and multilateral relationships.</w:t>
      </w:r>
    </w:p>
    <w:p>
      <w:pPr>
        <w:numPr>
          <w:ilvl w:val="0"/>
          <w:numId w:val="1001"/>
        </w:numPr>
        <w:pStyle w:val="Compact"/>
      </w:pPr>
      <w:r>
        <w:t xml:space="preserve">Promoting economic cooperation and investment opportunities.</w:t>
      </w:r>
    </w:p>
    <w:p>
      <w:pPr>
        <w:numPr>
          <w:ilvl w:val="0"/>
          <w:numId w:val="1001"/>
        </w:numPr>
        <w:pStyle w:val="Compact"/>
      </w:pPr>
      <w:r>
        <w:t xml:space="preserve">Facilitating cultural exchanges and mutual understanding.</w:t>
      </w:r>
    </w:p>
    <w:p>
      <w:pPr>
        <w:numPr>
          <w:ilvl w:val="0"/>
          <w:numId w:val="1001"/>
        </w:numPr>
        <w:pStyle w:val="Compact"/>
      </w:pPr>
      <w:r>
        <w:t xml:space="preserve">Addressing regional challenges through collaborative efforts.</w:t>
      </w:r>
    </w:p>
    <w:p>
      <w:pPr>
        <w:pStyle w:val="FirstParagraph"/>
      </w:pPr>
      <w:r>
        <w:t xml:space="preserve">These objectives align with broader global strategies while being tailored to the specific needs and characteristics of Turkey Istanbul.</w:t>
      </w:r>
    </w:p>
    <w:bookmarkEnd w:id="23"/>
    <w:bookmarkStart w:id="27" w:name="performance-evaluation"/>
    <w:p>
      <w:pPr>
        <w:pStyle w:val="Heading2"/>
      </w:pPr>
      <w:r>
        <w:t xml:space="preserve">Performance Evaluation</w:t>
      </w:r>
    </w:p>
    <w:bookmarkStart w:id="24" w:name="diplomatic-engagement"/>
    <w:p>
      <w:pPr>
        <w:pStyle w:val="Heading3"/>
      </w:pPr>
      <w:r>
        <w:t xml:space="preserve">1. Diplomatic Engagement</w:t>
      </w:r>
    </w:p>
    <w:p>
      <w:pPr>
        <w:pStyle w:val="FirstParagraph"/>
      </w:pPr>
      <w:r>
        <w:t xml:space="preserve">Diplomat has demonstrated a strong commitment to building and maintaining relationships with key stakeholders in Turkey Istanbul. Regular dialogues with government officials, business leaders, and civil society organizations have been instrumental in advancing shared goals. However, there is room for improvement in engaging with grassroots communities to ensure inclusivity and broader impact.</w:t>
      </w:r>
    </w:p>
    <w:bookmarkEnd w:id="24"/>
    <w:bookmarkStart w:id="25" w:name="economic-initiatives"/>
    <w:p>
      <w:pPr>
        <w:pStyle w:val="Heading3"/>
      </w:pPr>
      <w:r>
        <w:t xml:space="preserve">2. Economic Initiatives</w:t>
      </w:r>
    </w:p>
    <w:p>
      <w:pPr>
        <w:pStyle w:val="FirstParagraph"/>
      </w:pPr>
      <w:r>
        <w:t xml:space="preserve">In the realm of economic cooperation, Diplomat has successfully facilitated several high-profile partnerships and trade agreements. These initiatives have contributed to job creation, technology transfer, and market expansion. Nevertheless, challenges such as regulatory complexities and currency fluctuations require more proactive risk management strategies.</w:t>
      </w:r>
    </w:p>
    <w:bookmarkEnd w:id="25"/>
    <w:bookmarkStart w:id="26" w:name="cultural-diplomacy"/>
    <w:p>
      <w:pPr>
        <w:pStyle w:val="Heading3"/>
      </w:pPr>
      <w:r>
        <w:t xml:space="preserve">3. Cultural Diplomacy</w:t>
      </w:r>
    </w:p>
    <w:p>
      <w:pPr>
        <w:pStyle w:val="FirstParagraph"/>
      </w:pPr>
      <w:r>
        <w:t xml:space="preserve">Cultural diplomacy remains one of Diplomat's strengths in Turkey Istanbul. Events such as art exhibitions, music festivals, and educational programs have fostered cross-cultural understanding and goodwill. Expanding these efforts to include digital platforms could further amplify their reach and impact.</w:t>
      </w:r>
    </w:p>
    <w:bookmarkEnd w:id="26"/>
    <w:bookmarkEnd w:id="27"/>
    <w:bookmarkStart w:id="30" w:name="challenges-and-opportunities"/>
    <w:p>
      <w:pPr>
        <w:pStyle w:val="Heading2"/>
      </w:pPr>
      <w:r>
        <w:t xml:space="preserve">Challenges and Opportunities</w:t>
      </w:r>
    </w:p>
    <w:bookmarkStart w:id="28" w:name="challenges"/>
    <w:p>
      <w:pPr>
        <w:pStyle w:val="Heading3"/>
      </w:pPr>
      <w:r>
        <w:t xml:space="preserve">Challenges</w:t>
      </w:r>
    </w:p>
    <w:p>
      <w:pPr>
        <w:pStyle w:val="FirstParagraph"/>
      </w:pPr>
      <w:r>
        <w:t xml:space="preserve">Several challenges have been identified during the review process:</w:t>
      </w:r>
    </w:p>
    <w:p>
      <w:pPr>
        <w:numPr>
          <w:ilvl w:val="0"/>
          <w:numId w:val="1002"/>
        </w:numPr>
        <w:pStyle w:val="Compact"/>
      </w:pPr>
      <w:r>
        <w:t xml:space="preserve">Geopolitical tensions affecting regional stability.</w:t>
      </w:r>
    </w:p>
    <w:p>
      <w:pPr>
        <w:numPr>
          <w:ilvl w:val="0"/>
          <w:numId w:val="1002"/>
        </w:numPr>
        <w:pStyle w:val="Compact"/>
      </w:pPr>
      <w:r>
        <w:t xml:space="preserve">Bureaucratic hurdles slowing down project implementation.</w:t>
      </w:r>
    </w:p>
    <w:p>
      <w:pPr>
        <w:numPr>
          <w:ilvl w:val="0"/>
          <w:numId w:val="1002"/>
        </w:numPr>
        <w:pStyle w:val="Compact"/>
      </w:pPr>
      <w:r>
        <w:t xml:space="preserve">Language barriers impacting communication efficiency.</w:t>
      </w:r>
    </w:p>
    <w:bookmarkEnd w:id="28"/>
    <w:bookmarkStart w:id="29" w:name="opportunities"/>
    <w:p>
      <w:pPr>
        <w:pStyle w:val="Heading3"/>
      </w:pPr>
      <w:r>
        <w:t xml:space="preserve">Opportunities</w:t>
      </w:r>
    </w:p>
    <w:p>
      <w:pPr>
        <w:pStyle w:val="FirstParagraph"/>
      </w:pPr>
      <w:r>
        <w:t xml:space="preserve">Despite these challenges, numerous opportunities exist for Diplomat to enhance its presence in Turkey Istanbul:</w:t>
      </w:r>
    </w:p>
    <w:p>
      <w:pPr>
        <w:numPr>
          <w:ilvl w:val="0"/>
          <w:numId w:val="1003"/>
        </w:numPr>
        <w:pStyle w:val="Compact"/>
      </w:pPr>
      <w:r>
        <w:t xml:space="preserve">Leveraging Turkey Istanbul's role as a transit hub for global trade.</w:t>
      </w:r>
    </w:p>
    <w:p>
      <w:pPr>
        <w:numPr>
          <w:ilvl w:val="0"/>
          <w:numId w:val="1003"/>
        </w:numPr>
        <w:pStyle w:val="Compact"/>
      </w:pPr>
      <w:r>
        <w:t xml:space="preserve">Collaborating with local universities and research institutions.</w:t>
      </w:r>
    </w:p>
    <w:p>
      <w:pPr>
        <w:numPr>
          <w:ilvl w:val="0"/>
          <w:numId w:val="1003"/>
        </w:numPr>
        <w:pStyle w:val="Compact"/>
      </w:pPr>
      <w:r>
        <w:t xml:space="preserve">Utilizing emerging technologies to streamline operations and engagement.</w:t>
      </w:r>
    </w:p>
    <w:bookmarkEnd w:id="29"/>
    <w:bookmarkEnd w:id="30"/>
    <w:bookmarkStart w:id="31" w:name="recommendations"/>
    <w:p>
      <w:pPr>
        <w:pStyle w:val="Heading2"/>
      </w:pPr>
      <w:r>
        <w:t xml:space="preserve">Recommendations</w:t>
      </w:r>
    </w:p>
    <w:p>
      <w:pPr>
        <w:pStyle w:val="FirstParagraph"/>
      </w:pPr>
      <w:r>
        <w:t xml:space="preserve">Based on the findings of this Peer Review Report, the following recommendations are proposed:</w:t>
      </w:r>
    </w:p>
    <w:p>
      <w:pPr>
        <w:numPr>
          <w:ilvl w:val="0"/>
          <w:numId w:val="1004"/>
        </w:numPr>
        <w:pStyle w:val="Compact"/>
      </w:pPr>
      <w:r>
        <w:rPr>
          <w:bCs/>
          <w:b/>
        </w:rPr>
        <w:t xml:space="preserve">Enhance Local Engagement:</w:t>
      </w:r>
      <w:r>
        <w:t xml:space="preserve"> </w:t>
      </w:r>
      <w:r>
        <w:t xml:space="preserve">Develop targeted programs to involve local communities and amplify their voices in decision-making processes.</w:t>
      </w:r>
    </w:p>
    <w:p>
      <w:pPr>
        <w:numPr>
          <w:ilvl w:val="0"/>
          <w:numId w:val="1004"/>
        </w:numPr>
        <w:pStyle w:val="Compact"/>
      </w:pPr>
      <w:r>
        <w:rPr>
          <w:bCs/>
          <w:b/>
        </w:rPr>
        <w:t xml:space="preserve">Strengthen Risk Management:</w:t>
      </w:r>
      <w:r>
        <w:t xml:space="preserve"> </w:t>
      </w:r>
      <w:r>
        <w:t xml:space="preserve">Implement robust frameworks to mitigate risks associated with economic and political uncertainties.</w:t>
      </w:r>
    </w:p>
    <w:p>
      <w:pPr>
        <w:numPr>
          <w:ilvl w:val="0"/>
          <w:numId w:val="1004"/>
        </w:numPr>
        <w:pStyle w:val="Compact"/>
      </w:pPr>
      <w:r>
        <w:rPr>
          <w:bCs/>
          <w:b/>
        </w:rPr>
        <w:t xml:space="preserve">Expand Digital Presence:</w:t>
      </w:r>
      <w:r>
        <w:t xml:space="preserve"> </w:t>
      </w:r>
      <w:r>
        <w:t xml:space="preserve">Invest in digital tools and platforms to improve accessibility and engagement with diverse audiences.</w:t>
      </w:r>
    </w:p>
    <w:p>
      <w:pPr>
        <w:numPr>
          <w:ilvl w:val="0"/>
          <w:numId w:val="1004"/>
        </w:numPr>
        <w:pStyle w:val="Compact"/>
      </w:pPr>
      <w:r>
        <w:rPr>
          <w:bCs/>
          <w:b/>
        </w:rPr>
        <w:t xml:space="preserve">Promote Sustainability:</w:t>
      </w:r>
      <w:r>
        <w:t xml:space="preserve"> </w:t>
      </w:r>
      <w:r>
        <w:t xml:space="preserve">Integrate environmental and social sustainability into all initiatives to align with global standards and local expectations.</w:t>
      </w:r>
    </w:p>
    <w:bookmarkEnd w:id="31"/>
    <w:bookmarkStart w:id="32" w:name="conclusion"/>
    <w:p>
      <w:pPr>
        <w:pStyle w:val="Heading2"/>
      </w:pPr>
      <w:r>
        <w:t xml:space="preserve">Conclusion</w:t>
      </w:r>
    </w:p>
    <w:p>
      <w:pPr>
        <w:pStyle w:val="FirstParagraph"/>
      </w:pPr>
      <w:r>
        <w:t xml:space="preserve">In conclusion, Diplomat has made significant strides in establishing itself as a key player in Turkey Istanbul. Its efforts in diplomatic engagement, economic cooperation, and cultural diplomacy have yielded positive results. However, addressing existing challenges and capitalizing on emerging opportunities will be crucial for sustaining and enhancing its impact. By implementing the recommendations outlined in this report, Diplomat can further solidify its role as a catalyst for progress and collaboration in Turkey Istanbul.</w:t>
      </w:r>
    </w:p>
    <w:bookmarkEnd w:id="32"/>
    <w:bookmarkStart w:id="33" w:name="final-remarks"/>
    <w:p>
      <w:pPr>
        <w:pStyle w:val="Heading3"/>
      </w:pPr>
      <w:r>
        <w:t xml:space="preserve">Final Remarks</w:t>
      </w:r>
    </w:p>
    <w:p>
      <w:pPr>
        <w:pStyle w:val="FirstParagraph"/>
      </w:pPr>
      <w:r>
        <w:t xml:space="preserve">This Peer Review Report underscores the importance of continuous evaluation and adaptation in achieving long-term success. Diplomat's journey in Turkey Istanbul exemplifies the potential of strategic diplomacy to drive meaningful change. With a clear vision and unwavering commitment, Diplomat is well-positioned to navigate the complexities of this vibrant region and contribute to its prosperity.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Turkey Istanbul</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