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General</w:t>
      </w:r>
      <w:r>
        <w:t xml:space="preserve"> </w:t>
      </w:r>
      <w:r>
        <w:t xml:space="preserve">Practitioner</w:t>
      </w:r>
      <w:r>
        <w:t xml:space="preserve"> </w:t>
      </w:r>
      <w:r>
        <w:t xml:space="preserve">-</w:t>
      </w:r>
      <w:r>
        <w:t xml:space="preserve"> </w:t>
      </w:r>
      <w:r>
        <w:t xml:space="preserve">Melbourne,</w:t>
      </w:r>
      <w:r>
        <w:t xml:space="preserve"> </w:t>
      </w:r>
      <w:r>
        <w:t xml:space="preserve">Australia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Performance and Professional Conduct Assessment</w:t>
      </w:r>
    </w:p>
    <w:p>
      <w:pPr>
        <w:pStyle w:val="BodyText"/>
      </w:pPr>
      <w:r>
        <w:rPr>
          <w:bCs/>
          <w:b/>
        </w:rPr>
        <w:t xml:space="preserve">Location:</w:t>
      </w:r>
      <w:r>
        <w:t xml:space="preserve"> </w:t>
      </w:r>
      <w:r>
        <w:t xml:space="preserve">Melbourne, Victoria, Australia</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practice, professional conduct, and administrative compliance of a Doctor General Practitioner operating within the metropolitan and suburban regions of Australia Melbourne. The review aligns with the standards set forth by the Medical Board of Australia, the Royal Australian College of General Practitioners (RACGP), and the Australian Commission on Safety and Quality in Health Care. The primary objective is to ensure that the practitioner maintains the highest levels of patient safety, clinical efficacy, and ethical integrity expected in the Victorian healthcare system.</w:t>
      </w:r>
    </w:p>
    <w:p>
      <w:pPr>
        <w:pStyle w:val="BodyText"/>
      </w:pPr>
      <w:r>
        <w:t xml:space="preserve">The scope of this review encompasses a retrospective analysis of patient records, direct observation of clinical consultations, assessment of prescribing habits, and an evaluation of the practitioner's engagement with continuing professional development (CPD). This document serves as a formal record of the findings and recommendations derived from this comprehensive assessment.</w:t>
      </w:r>
    </w:p>
    <w:bookmarkEnd w:id="21"/>
    <w:bookmarkStart w:id="22" w:name="practitioner-profile-and-context"/>
    <w:p>
      <w:pPr>
        <w:pStyle w:val="Heading2"/>
      </w:pPr>
      <w:r>
        <w:t xml:space="preserve">2. Practitioner Profile and Context</w:t>
      </w:r>
    </w:p>
    <w:p>
      <w:pPr>
        <w:pStyle w:val="FirstParagraph"/>
      </w:pPr>
      <w:r>
        <w:t xml:space="preserve">The Doctor General Practitioner under review is registered with the Australian Health Practitioner Regulation Agency (AHPRA) and holds fellowship with the RACGP. The practice is situated in a high-density area of Australia Melbourne, serving a diverse demographic that includes elderly patients, families, and individuals with complex chronic conditions. The practitioner operates within a multidisciplinary team environment, collaborating with nurses, allied health professionals, and specialists across Melbourne's extensive hospital network.</w:t>
      </w:r>
    </w:p>
    <w:bookmarkEnd w:id="22"/>
    <w:bookmarkStart w:id="23" w:name="clinical-competence-and-patient-care"/>
    <w:p>
      <w:pPr>
        <w:pStyle w:val="Heading2"/>
      </w:pPr>
      <w:r>
        <w:t xml:space="preserve">3. Clinical Competence and Patient Care</w:t>
      </w:r>
    </w:p>
    <w:p>
      <w:pPr>
        <w:pStyle w:val="FirstParagraph"/>
      </w:pPr>
      <w:r>
        <w:t xml:space="preserve">The review of clinical files indicates that the Doctor General Practitioner demonstrates a robust understanding of general medical principles and current clinical guidelines. The practitioner exhibits strong diagnostic reasoning, particularly in the management of common presentations such as respiratory infections, musculoskeletal disorders, and mental health concerns.</w:t>
      </w:r>
    </w:p>
    <w:p>
      <w:pPr>
        <w:pStyle w:val="BodyText"/>
      </w:pPr>
      <w:r>
        <w:t xml:space="preserve">A significant strength identified is the practitioner's approach to chronic disease management. In alignment with the Australian Government's Better Health initiative, the Doctor General Practitioner effectively utilizes Preventative Health Assessments and Individualised Management Plans for patients with conditions such as diabetes, hypertension, and cardiovascular disease. The documentation in the medical records is thorough, reflecting a clear rationale for clinical decisions and appropriate follow-up protocols.</w:t>
      </w:r>
    </w:p>
    <w:p>
      <w:pPr>
        <w:pStyle w:val="BodyText"/>
      </w:pPr>
      <w:r>
        <w:t xml:space="preserve">However, the review noted minor inconsistencies in the documentation of informed consent processes for certain minor procedures. While no adverse outcomes were reported, it is recommended that the practitioner standardize this process to ensure full compliance with the National Safety and Quality Health Service (NSQHS) Standards.</w:t>
      </w:r>
    </w:p>
    <w:bookmarkEnd w:id="23"/>
    <w:bookmarkStart w:id="24" w:name="Xdb026b1291f61ef8edfcb6cf45cc0f002474a1c"/>
    <w:p>
      <w:pPr>
        <w:pStyle w:val="Heading2"/>
      </w:pPr>
      <w:r>
        <w:t xml:space="preserve">4. Prescribing Practices and Medication Safety</w:t>
      </w:r>
    </w:p>
    <w:p>
      <w:pPr>
        <w:pStyle w:val="FirstParagraph"/>
      </w:pPr>
      <w:r>
        <w:t xml:space="preserve">Medication safety is a critical component of general practice in Australia Melbourne. The audit of prescribing patterns reveals that the Doctor General Practitioner generally adheres to the Therapeutic Guidelines: eTG. The practitioner demonstrates caution in the prescribing of opioids and benzodiazepines, consistent with the Victorian Department of Health's guidelines on minimizing medication-related harm.</w:t>
      </w:r>
    </w:p>
    <w:p>
      <w:pPr>
        <w:pStyle w:val="BodyText"/>
      </w:pPr>
      <w:r>
        <w:t xml:space="preserve">The review found that the practitioner actively checks the Pharmaceutical Benefits Scheme (PBS) database for drug interactions and contraindications. There is evidence of regular medication reviews for elderly patients, which is essential for preventing polypharmacy. No significant deviations from standard prescribing protocols were identified that would pose a risk to patient safety.</w:t>
      </w:r>
    </w:p>
    <w:bookmarkEnd w:id="24"/>
    <w:bookmarkStart w:id="25" w:name="professional-conduct-and-communication"/>
    <w:p>
      <w:pPr>
        <w:pStyle w:val="Heading2"/>
      </w:pPr>
      <w:r>
        <w:t xml:space="preserve">5. Professional Conduct and Communication</w:t>
      </w:r>
    </w:p>
    <w:p>
      <w:pPr>
        <w:pStyle w:val="FirstParagraph"/>
      </w:pPr>
      <w:r>
        <w:t xml:space="preserve">The Doctor General Practitioner demonstrates excellent communication skills, fostering a therapeutic relationship with patients. Observations of consultations highlighted the practitioner's ability to listen actively, explain medical conditions in accessible language, and involve patients in shared decision-making. This approach is particularly effective in the multicultural context of Australia Melbourne, where the practitioner shows cultural sensitivity and utilizes interpreter services when necessary.</w:t>
      </w:r>
    </w:p>
    <w:p>
      <w:pPr>
        <w:pStyle w:val="BodyText"/>
      </w:pPr>
      <w:r>
        <w:t xml:space="preserve">Professional interactions with colleagues and staff are respectful and collaborative. The practitioner contributes positively to the practice environment and engages constructively in peer discussions and case reviews. There were no complaints regarding professional behavior or breaches of the Medical Board of Australia's Code of Conduct.</w:t>
      </w:r>
    </w:p>
    <w:bookmarkEnd w:id="25"/>
    <w:bookmarkStart w:id="26" w:name="continuing-professional-development-cpd"/>
    <w:p>
      <w:pPr>
        <w:pStyle w:val="Heading2"/>
      </w:pPr>
      <w:r>
        <w:t xml:space="preserve">6. Continuing Professional Development (CPD)</w:t>
      </w:r>
    </w:p>
    <w:p>
      <w:pPr>
        <w:pStyle w:val="FirstParagraph"/>
      </w:pPr>
      <w:r>
        <w:t xml:space="preserve">The review confirms that the Doctor General Practitioner is compliant with the RACGP's CPD requirements. The practitioner has completed the necessary hours of learning activities, including workshops, online modules, and peer review sessions. The CPD portfolio reflects a commitment to maintaining currency in areas relevant to general practice in Victoria, such as mental health first aid, vaccination protocols, and updates to the MBS (Medicare Benefits Schedule).</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to further enhance the quality of care provided by the Doctor General Practitioner:</w:t>
      </w:r>
    </w:p>
    <w:p>
      <w:pPr>
        <w:numPr>
          <w:ilvl w:val="0"/>
          <w:numId w:val="1001"/>
        </w:numPr>
        <w:pStyle w:val="Compact"/>
      </w:pPr>
      <w:r>
        <w:t xml:space="preserve">Implement a standardized template for documenting informed consent for all minor procedures to ensure consistency and legal compliance.</w:t>
      </w:r>
    </w:p>
    <w:p>
      <w:pPr>
        <w:numPr>
          <w:ilvl w:val="0"/>
          <w:numId w:val="1001"/>
        </w:numPr>
        <w:pStyle w:val="Compact"/>
      </w:pPr>
      <w:r>
        <w:t xml:space="preserve">Engage in additional training on advanced mental health interventions to better support the growing demand for psychological services in the Melbourne community.</w:t>
      </w:r>
    </w:p>
    <w:p>
      <w:pPr>
        <w:numPr>
          <w:ilvl w:val="0"/>
          <w:numId w:val="1001"/>
        </w:numPr>
        <w:pStyle w:val="Compact"/>
      </w:pPr>
      <w:r>
        <w:t xml:space="preserve">Continue to participate in regular peer review cycles to maintain high standards of clinical practice and self-reflection.</w:t>
      </w:r>
    </w:p>
    <w:bookmarkEnd w:id="27"/>
    <w:bookmarkStart w:id="28" w:name="conclusion"/>
    <w:p>
      <w:pPr>
        <w:pStyle w:val="Heading2"/>
      </w:pPr>
      <w:r>
        <w:t xml:space="preserve">8. Conclusion</w:t>
      </w:r>
    </w:p>
    <w:p>
      <w:pPr>
        <w:pStyle w:val="FirstParagraph"/>
      </w:pPr>
      <w:r>
        <w:t xml:space="preserve">In conclusion, this Peer Review Report affirms that the Doctor General Practitioner is performing at a level that meets and, in many areas, exceeds the standards required for general practice in Australia Melbourne. The practitioner demonstrates clinical competence, professional integrity, and a commitment to patient-centered care. The minor areas for improvement identified are addressed through actionable recommendations that will further strengthen the quality and safety of the practice. The reviewer is satisfied that the practitioner is fit to continue their registration and practice without restriction.</w:t>
      </w:r>
    </w:p>
    <w:bookmarkEnd w:id="28"/>
    <w:p>
      <w:pPr>
        <w:pStyle w:val="BodyText"/>
      </w:pPr>
      <w:r>
        <w:rPr>
          <w:bCs/>
          <w:b/>
        </w:rPr>
        <w:t xml:space="preserve">Reviewer Name:</w:t>
      </w:r>
      <w:r>
        <w:t xml:space="preserve"> </w:t>
      </w:r>
      <w:r>
        <w:t xml:space="preserve">Dr. Jane Smith, FRACGP</w:t>
      </w:r>
    </w:p>
    <w:p>
      <w:pPr>
        <w:pStyle w:val="BodyText"/>
      </w:pPr>
      <w:r>
        <w:rPr>
          <w:bCs/>
          <w:b/>
        </w:rPr>
        <w:t xml:space="preserve">Role:</w:t>
      </w:r>
      <w:r>
        <w:t xml:space="preserve"> </w:t>
      </w:r>
      <w:r>
        <w:t xml:space="preserve">Senior Peer Reviewer</w:t>
      </w:r>
    </w:p>
    <w:p>
      <w:pPr>
        <w:pStyle w:val="BodyText"/>
      </w:pPr>
      <w:r>
        <w:t xml:space="preserve">Signature</w:t>
      </w:r>
    </w:p>
    <w:p>
      <w:pPr>
        <w:pStyle w:val="BodyText"/>
      </w:pPr>
      <w:r>
        <w:rPr>
          <w:bCs/>
          <w:b/>
        </w:rPr>
        <w:t xml:space="preserve">Practitioner Name:</w:t>
      </w:r>
      <w:r>
        <w:t xml:space="preserve"> </w:t>
      </w:r>
      <w:r>
        <w:t xml:space="preserve">Dr. John Doe, FRACGP</w:t>
      </w:r>
    </w:p>
    <w:p>
      <w:pPr>
        <w:pStyle w:val="BodyText"/>
      </w:pPr>
      <w:r>
        <w:rPr>
          <w:bCs/>
          <w:b/>
        </w:rPr>
        <w:t xml:space="preserve">Role:</w:t>
      </w:r>
      <w:r>
        <w:t xml:space="preserve"> </w:t>
      </w:r>
      <w:r>
        <w:t xml:space="preserve">Doctor General Practitioner</w:t>
      </w:r>
    </w:p>
    <w:p>
      <w:pPr>
        <w:pStyle w:val="BodyText"/>
      </w:pPr>
      <w:r>
        <w:t xml:space="preserve">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General Practitioner - Melbourne, Australia</dc:title>
  <dc:creator/>
  <dc:language>en</dc:language>
  <cp:keywords/>
  <dcterms:created xsi:type="dcterms:W3CDTF">2026-10-10T02:01:33Z</dcterms:created>
  <dcterms:modified xsi:type="dcterms:W3CDTF">2026-10-10T02:01:33Z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