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t xml:space="preserve">Report ID:</w:t>
      </w:r>
      <w:r>
        <w:t xml:space="preserve"> </w:t>
      </w:r>
      <w:r>
        <w:t xml:space="preserve">PR-SP-2023-8942</w:t>
      </w:r>
    </w:p>
    <w:p>
      <w:pPr>
        <w:pStyle w:val="BodyText"/>
      </w:pPr>
      <w:r>
        <w:t xml:space="preserve">Date:</w:t>
      </w:r>
      <w:r>
        <w:t xml:space="preserve"> </w:t>
      </w:r>
      <w:r>
        <w:t xml:space="preserve">October 24, 2023</w:t>
      </w:r>
    </w:p>
    <w:p>
      <w:pPr>
        <w:pStyle w:val="BodyText"/>
      </w:pPr>
      <w:r>
        <w:t xml:space="preserve">Region:</w:t>
      </w:r>
      <w:r>
        <w:t xml:space="preserve"> </w:t>
      </w:r>
      <w:r>
        <w:t xml:space="preserve">São Paulo, Brazil</w:t>
      </w:r>
    </w:p>
    <w:p>
      <w:pPr>
        <w:pStyle w:val="BodyText"/>
      </w:pPr>
      <w:r>
        <w:t xml:space="preserve">Status:</w:t>
      </w:r>
      <w:r>
        <w:t xml:space="preserve"> </w:t>
      </w:r>
      <w:r>
        <w:t xml:space="preserve">Finalized</w:t>
      </w:r>
    </w:p>
    <w:bookmarkEnd w:id="20"/>
    <w:bookmarkStart w:id="21" w:name="introduction-and-scope"/>
    <w:p>
      <w:pPr>
        <w:pStyle w:val="Heading2"/>
      </w:pPr>
      <w:r>
        <w:t xml:space="preserve">1. Introduction and Scope</w:t>
      </w:r>
    </w:p>
    <w:p>
      <w:pPr>
        <w:pStyle w:val="FirstParagraph"/>
      </w:pPr>
      <w:r>
        <w:t xml:space="preserve">This document serves as a formal</w:t>
      </w:r>
      <w:r>
        <w:t xml:space="preserve"> </w:t>
      </w:r>
      <w:r>
        <w:rPr>
          <w:bCs/>
          <w:b/>
        </w:rPr>
        <w:t xml:space="preserve">Peer Review Report</w:t>
      </w:r>
      <w:r>
        <w:t xml:space="preserve"> </w:t>
      </w:r>
      <w:r>
        <w:t xml:space="preserve">conducted in accordance with the standards established by the Federal Council of Medicine (Conselho Federal de Medicina - CFM) and the Regional Medical Council of São Paulo (Conselho Regional de Medicina do Estado de São Paulo - CRM-SP). The purpose of this review is to evaluate the clinical competence, ethical conduct, and adherence to evidence-based medicine protocols of a</w:t>
      </w:r>
      <w:r>
        <w:t xml:space="preserve"> </w:t>
      </w:r>
      <w:r>
        <w:rPr>
          <w:bCs/>
          <w:b/>
        </w:rPr>
        <w:t xml:space="preserve">Doctor General Practitioner</w:t>
      </w:r>
      <w:r>
        <w:t xml:space="preserve"> </w:t>
      </w:r>
      <w:r>
        <w:t xml:space="preserve">operating within the metropolitan area of</w:t>
      </w:r>
      <w:r>
        <w:t xml:space="preserve"> </w:t>
      </w:r>
      <w:r>
        <w:rPr>
          <w:bCs/>
          <w:b/>
        </w:rPr>
        <w:t xml:space="preserve">Brazil São Paulo</w:t>
      </w:r>
      <w:r>
        <w:t xml:space="preserve">.</w:t>
      </w:r>
    </w:p>
    <w:p>
      <w:pPr>
        <w:pStyle w:val="BodyText"/>
      </w:pPr>
      <w:r>
        <w:t xml:space="preserve">General Practice in Brazil has evolved significantly, particularly within the Unified Health System (Sistema Único de Saúde - SUS) and private networks in São Paulo. As the primary point of contact for patients, the General Practitioner plays a pivotal role in disease prevention, chronic disease management, and triage. This review assesses whether the subject physician meets the rigorous demands of practicing in one of the most complex healthcare environments in Latin America.</w:t>
      </w:r>
    </w:p>
    <w:bookmarkEnd w:id="21"/>
    <w:bookmarkStart w:id="22" w:name="subject-physician-profile"/>
    <w:p>
      <w:pPr>
        <w:pStyle w:val="Heading2"/>
      </w:pPr>
      <w:r>
        <w:t xml:space="preserve">2. Subject Physician Profile</w:t>
      </w:r>
    </w:p>
    <w:p>
      <w:pPr>
        <w:pStyle w:val="FirstParagraph"/>
      </w:pPr>
      <w:r>
        <w:rPr>
          <w:bCs/>
          <w:b/>
        </w:rPr>
        <w:t xml:space="preserve">Specialty:</w:t>
      </w:r>
      <w:r>
        <w:t xml:space="preserve"> </w:t>
      </w:r>
      <w:r>
        <w:t xml:space="preserve">General Practice (Medicina de Família e Comunidade / Clínica Médica)</w:t>
      </w:r>
      <w:r>
        <w:br/>
      </w:r>
      <w:r>
        <w:rPr>
          <w:bCs/>
          <w:b/>
        </w:rPr>
        <w:t xml:space="preserve">Location of Practice:</w:t>
      </w:r>
      <w:r>
        <w:t xml:space="preserve"> </w:t>
      </w:r>
      <w:r>
        <w:t xml:space="preserve">São Paulo, SP, Brazil</w:t>
      </w:r>
      <w:r>
        <w:br/>
      </w:r>
      <w:r>
        <w:rPr>
          <w:bCs/>
          <w:b/>
        </w:rPr>
        <w:t xml:space="preserve">CRM-SP Number:</w:t>
      </w:r>
      <w:r>
        <w:t xml:space="preserve"> </w:t>
      </w:r>
      <w:r>
        <w:t xml:space="preserve">[Redacted for Privacy]</w:t>
      </w:r>
      <w:r>
        <w:br/>
      </w:r>
      <w:r>
        <w:rPr>
          <w:bCs/>
          <w:b/>
        </w:rPr>
        <w:t xml:space="preserve">Review Period:</w:t>
      </w:r>
      <w:r>
        <w:t xml:space="preserve"> </w:t>
      </w:r>
      <w:r>
        <w:t xml:space="preserve">January 1, 2023 – September 30, 2023</w:t>
      </w:r>
    </w:p>
    <w:p>
      <w:pPr>
        <w:pStyle w:val="BodyText"/>
      </w:pPr>
      <w:r>
        <w:t xml:space="preserve">The physician under review is responsible for a diverse patient demographic typical of São Paulo, ranging from pediatric cases to geriatric care, with a high prevalence of chronic non-communicable diseases such as hypertension and type 2 diabetes.</w:t>
      </w:r>
    </w:p>
    <w:bookmarkEnd w:id="22"/>
    <w:bookmarkStart w:id="23" w:name="X45c1b4156b66fede970d38e87ba1f3035493e48"/>
    <w:p>
      <w:pPr>
        <w:pStyle w:val="Heading2"/>
      </w:pPr>
      <w:r>
        <w:t xml:space="preserve">3. Clinical Competence and Diagnostic Accuracy</w:t>
      </w:r>
    </w:p>
    <w:p>
      <w:pPr>
        <w:pStyle w:val="FirstParagraph"/>
      </w:pPr>
      <w:r>
        <w:t xml:space="preserve">The core of this</w:t>
      </w:r>
      <w:r>
        <w:t xml:space="preserve"> </w:t>
      </w:r>
      <w:r>
        <w:rPr>
          <w:bCs/>
          <w:b/>
        </w:rPr>
        <w:t xml:space="preserve">Peer Review Report</w:t>
      </w:r>
      <w:r>
        <w:t xml:space="preserve"> </w:t>
      </w:r>
      <w:r>
        <w:t xml:space="preserve">focuses on the diagnostic and therapeutic decisions made by the</w:t>
      </w:r>
      <w:r>
        <w:t xml:space="preserve"> </w:t>
      </w:r>
      <w:r>
        <w:rPr>
          <w:bCs/>
          <w:b/>
        </w:rPr>
        <w:t xml:space="preserve">Doctor General Practitioner</w:t>
      </w:r>
      <w:r>
        <w:t xml:space="preserve">. A random sample of 150 patient records was audited. The review indicates a high level of proficiency in managing common acute conditions, including respiratory infections, gastrointestinal disturbances, and minor trauma.</w:t>
      </w:r>
    </w:p>
    <w:p>
      <w:pPr>
        <w:pStyle w:val="BodyText"/>
      </w:pPr>
      <w:r>
        <w:t xml:space="preserve">In the context of</w:t>
      </w:r>
      <w:r>
        <w:t xml:space="preserve"> </w:t>
      </w:r>
      <w:r>
        <w:rPr>
          <w:bCs/>
          <w:b/>
        </w:rPr>
        <w:t xml:space="preserve">Brazil São Paulo</w:t>
      </w:r>
      <w:r>
        <w:t xml:space="preserve">, where the burden of chronic disease is significant, the physician demonstrated appropriate adherence to the Brazilian Ministry of Health's clinical protocols (Protocolos Clínicos e Diretrizes Terapêuticas - PCDT). Specifically, the management of hypertensive patients showed excellent alignment with current guidelines, with appropriate titration of antihypertensive medications and regular monitoring of renal function and electrolytes.</w:t>
      </w:r>
    </w:p>
    <w:p>
      <w:pPr>
        <w:pStyle w:val="BodyText"/>
      </w:pPr>
      <w:r>
        <w:t xml:space="preserve">However, the review identified minor discrepancies in the documentation of differential diagnoses for complex abdominal pain cases. While the final diagnoses were correct in 92% of cases, the reasoning process was not always explicitly detailed in the medical records. It is recommended that the physician enhance the narrative portion of the clinical notes to better reflect the diagnostic reasoning process, ensuring clarity for future care providers.</w:t>
      </w:r>
    </w:p>
    <w:bookmarkEnd w:id="23"/>
    <w:bookmarkStart w:id="24" w:name="X4af85e99014da2ab5ee0e21b6435ec2a2898da5"/>
    <w:p>
      <w:pPr>
        <w:pStyle w:val="Heading2"/>
      </w:pPr>
      <w:r>
        <w:t xml:space="preserve">4. Prescribing Practices and Antibiotic Stewardship</w:t>
      </w:r>
    </w:p>
    <w:p>
      <w:pPr>
        <w:pStyle w:val="FirstParagraph"/>
      </w:pPr>
      <w:r>
        <w:t xml:space="preserve">Antibiotic resistance is a critical public health concern in Brazil. This</w:t>
      </w:r>
      <w:r>
        <w:t xml:space="preserve"> </w:t>
      </w:r>
      <w:r>
        <w:rPr>
          <w:bCs/>
          <w:b/>
        </w:rPr>
        <w:t xml:space="preserve">Peer Review Report</w:t>
      </w:r>
      <w:r>
        <w:t xml:space="preserve"> </w:t>
      </w:r>
      <w:r>
        <w:t xml:space="preserve">scrutinized the prescribing habits of the</w:t>
      </w:r>
      <w:r>
        <w:t xml:space="preserve"> </w:t>
      </w:r>
      <w:r>
        <w:rPr>
          <w:bCs/>
          <w:b/>
        </w:rPr>
        <w:t xml:space="preserve">Doctor General Practitioner</w:t>
      </w:r>
      <w:r>
        <w:t xml:space="preserve"> </w:t>
      </w:r>
      <w:r>
        <w:t xml:space="preserve">regarding antimicrobial agents. The audit revealed a commendable effort to adhere to antibiotic stewardship principles.</w:t>
      </w:r>
    </w:p>
    <w:p>
      <w:pPr>
        <w:pStyle w:val="BodyText"/>
      </w:pPr>
      <w:r>
        <w:t xml:space="preserve">In cases of viral upper respiratory infections, the physician correctly refrained from prescribing antibiotics in 85% of instances, opting instead for symptomatic treatment and patient education. This is a positive indicator of clinical judgment. However, there were isolated instances where broad-spectrum antibiotics were prescribed for uncomplicated urinary tract infections without prior urine culture results. Given the high prevalence of resistant strains in</w:t>
      </w:r>
      <w:r>
        <w:t xml:space="preserve"> </w:t>
      </w:r>
      <w:r>
        <w:rPr>
          <w:bCs/>
          <w:b/>
        </w:rPr>
        <w:t xml:space="preserve">Brazil São Paulo</w:t>
      </w:r>
      <w:r>
        <w:t xml:space="preserve">, it is strongly recommended that the physician strictly follow the local antibiogram guidelines and prioritize narrow-spectrum agents when empiric therapy is necessary.</w:t>
      </w:r>
    </w:p>
    <w:bookmarkEnd w:id="24"/>
    <w:bookmarkStart w:id="25" w:name="X9b7ef1ecaec924d264d0ec3dee9b3eb467e9fe9"/>
    <w:p>
      <w:pPr>
        <w:pStyle w:val="Heading2"/>
      </w:pPr>
      <w:r>
        <w:t xml:space="preserve">5. Patient Communication and Ethical Conduct</w:t>
      </w:r>
    </w:p>
    <w:p>
      <w:pPr>
        <w:pStyle w:val="FirstParagraph"/>
      </w:pPr>
      <w:r>
        <w:t xml:space="preserve">Effective communication is paramount in General Practice. Feedback collected from patient satisfaction surveys and peer observations indicates that the physician maintains a professional, empathetic, and respectful demeanor. The ability to explain complex medical conditions in clear Portuguese, adapting the language to the patient's level of health literacy, was noted as a significant strength.</w:t>
      </w:r>
    </w:p>
    <w:p>
      <w:pPr>
        <w:pStyle w:val="BodyText"/>
      </w:pPr>
      <w:r>
        <w:t xml:space="preserve">Ethical conduct was evaluated against the Code of Medical Ethics of the CFM. No violations regarding patient confidentiality, informed consent, or professional boundaries were identified. The physician demonstrated appropriate sensitivity to the socio-economic realities of patients in São Paulo, ensuring that treatment plans were feasible and accessible within the local healthcare infrastructure.</w:t>
      </w:r>
    </w:p>
    <w:bookmarkEnd w:id="25"/>
    <w:bookmarkStart w:id="26" w:name="documentation-and-medical-records"/>
    <w:p>
      <w:pPr>
        <w:pStyle w:val="Heading2"/>
      </w:pPr>
      <w:r>
        <w:t xml:space="preserve">6. Documentation and Medical Records</w:t>
      </w:r>
    </w:p>
    <w:p>
      <w:pPr>
        <w:pStyle w:val="FirstParagraph"/>
      </w:pPr>
      <w:r>
        <w:t xml:space="preserve">Accurate medical documentation is a legal and clinical necessity. The review of the electronic health records (EHR) used by the</w:t>
      </w:r>
      <w:r>
        <w:t xml:space="preserve"> </w:t>
      </w:r>
      <w:r>
        <w:rPr>
          <w:bCs/>
          <w:b/>
        </w:rPr>
        <w:t xml:space="preserve">Doctor General Practitioner</w:t>
      </w:r>
      <w:r>
        <w:t xml:space="preserve"> </w:t>
      </w:r>
      <w:r>
        <w:t xml:space="preserve">showed generally good compliance with CRM-SP requirements. Vital signs, physical examination findings, and treatment plans were consistently recorded.</w:t>
      </w:r>
    </w:p>
    <w:p>
      <w:pPr>
        <w:pStyle w:val="BodyText"/>
      </w:pPr>
      <w:r>
        <w:t xml:space="preserve">One area for improvement is the timeliness of record entry. In approximately 10% of the reviewed cases, the medical notes were completed more than 48 hours after the consultation. To maintain the integrity of the medical record and ensure continuity of care, it is recommended that documentation be completed immediately following the patient encounter.</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Doctor General Practitioner</w:t>
      </w:r>
      <w:r>
        <w:t xml:space="preserve"> </w:t>
      </w:r>
      <w:r>
        <w:t xml:space="preserve">is deemed competent to continue practicing in</w:t>
      </w:r>
      <w:r>
        <w:t xml:space="preserve"> </w:t>
      </w:r>
      <w:r>
        <w:rPr>
          <w:bCs/>
          <w:b/>
        </w:rPr>
        <w:t xml:space="preserve">Brazil São Paulo</w:t>
      </w:r>
      <w:r>
        <w:t xml:space="preserve">. The physician demonstrates a solid foundation in clinical medicine, ethical integrity, and patient care.</w:t>
      </w:r>
    </w:p>
    <w:p>
      <w:pPr>
        <w:pStyle w:val="BodyText"/>
      </w:pPr>
      <w:r>
        <w:t xml:space="preserve">To further enhance the quality of care, the following recommendations are made:</w:t>
      </w:r>
    </w:p>
    <w:p>
      <w:pPr>
        <w:numPr>
          <w:ilvl w:val="0"/>
          <w:numId w:val="1001"/>
        </w:numPr>
        <w:pStyle w:val="Compact"/>
      </w:pPr>
      <w:r>
        <w:rPr>
          <w:bCs/>
          <w:b/>
        </w:rPr>
        <w:t xml:space="preserve">Enhanced Documentation:</w:t>
      </w:r>
      <w:r>
        <w:t xml:space="preserve"> </w:t>
      </w:r>
      <w:r>
        <w:t xml:space="preserve">Improve the detail and timeliness of clinical notes, particularly regarding differential diagnoses.</w:t>
      </w:r>
    </w:p>
    <w:p>
      <w:pPr>
        <w:numPr>
          <w:ilvl w:val="0"/>
          <w:numId w:val="1001"/>
        </w:numPr>
        <w:pStyle w:val="Compact"/>
      </w:pPr>
      <w:r>
        <w:rPr>
          <w:bCs/>
          <w:b/>
        </w:rPr>
        <w:t xml:space="preserve">Antibiotic Stewardship:</w:t>
      </w:r>
      <w:r>
        <w:t xml:space="preserve"> </w:t>
      </w:r>
      <w:r>
        <w:t xml:space="preserve">Strictly adhere to local antibiogram guidelines and reduce the use of broad-spectrum antibiotics for uncomplicated infections.</w:t>
      </w:r>
    </w:p>
    <w:p>
      <w:pPr>
        <w:numPr>
          <w:ilvl w:val="0"/>
          <w:numId w:val="1001"/>
        </w:numPr>
        <w:pStyle w:val="Compact"/>
      </w:pPr>
      <w:r>
        <w:rPr>
          <w:bCs/>
          <w:b/>
        </w:rPr>
        <w:t xml:space="preserve">Continuing Education:</w:t>
      </w:r>
      <w:r>
        <w:t xml:space="preserve"> </w:t>
      </w:r>
      <w:r>
        <w:t xml:space="preserve">Engage in ongoing professional development focused on the latest updates in chronic disease management protocols issued by the Brazilian Ministry of Health.</w:t>
      </w:r>
    </w:p>
    <w:p>
      <w:pPr>
        <w:pStyle w:val="FirstParagraph"/>
      </w:pPr>
      <w:r>
        <w:t xml:space="preserve">This review affirms that the physician is a valuable asset to the healthcare community in São Paulo, contributing positively to the health outcomes of their patients. A follow-up review is recommended in 12 months to monitor progress on the areas identified for improvement.</w:t>
      </w:r>
    </w:p>
    <w:bookmarkEnd w:id="27"/>
    <w:p>
      <w:pPr>
        <w:pStyle w:val="BodyText"/>
      </w:pPr>
      <w:r>
        <w:rPr>
          <w:bCs/>
          <w:b/>
        </w:rPr>
        <w:t xml:space="preserve">Dr. [Reviewer Name]</w:t>
      </w:r>
      <w:r>
        <w:br/>
      </w:r>
      <w:r>
        <w:t xml:space="preserve">Senior Physician / Reviewer</w:t>
      </w:r>
      <w:r>
        <w:br/>
      </w:r>
      <w:r>
        <w:t xml:space="preserve">CRM-SP: [Number]</w:t>
      </w:r>
    </w:p>
    <w:p>
      <w:pPr>
        <w:pStyle w:val="BodyText"/>
      </w:pPr>
      <w:r>
        <w:rPr>
          <w:bCs/>
          <w:b/>
        </w:rPr>
        <w:t xml:space="preserve">Dr. [Subject Name]</w:t>
      </w:r>
      <w:r>
        <w:br/>
      </w:r>
      <w:r>
        <w:t xml:space="preserve">Doctor General Practitioner</w:t>
      </w:r>
      <w:r>
        <w:br/>
      </w:r>
      <w:r>
        <w:t xml:space="preserve">CRM-SP: [Number]</w:t>
      </w:r>
    </w:p>
    <w:p>
      <w:pPr>
        <w:pStyle w:val="BodyText"/>
      </w:pPr>
      <w:r>
        <w:rPr>
          <w:bCs/>
          <w:b/>
        </w:rPr>
        <w:t xml:space="preserve">Disclaimer:</w:t>
      </w:r>
      <w:r>
        <w:t xml:space="preserve"> </w:t>
      </w:r>
      <w:r>
        <w:t xml:space="preserve">This Peer Review Report is confidential and intended solely for the use of the individuals and entities named herein. It is prepared in accordance with the regulations of the Regional Medical Council of São Paulo (CRM-SP) and the Federal Council of Medicine (CFM). Unauthorized distribution or use of this document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São Paulo, Brazil</dc:title>
  <dc:creator/>
  <dc:language>en</dc:language>
  <cp:keywords/>
  <dcterms:created xsi:type="dcterms:W3CDTF">2026-10-10T06:32:08Z</dcterms:created>
  <dcterms:modified xsi:type="dcterms:W3CDTF">2026-10-10T06:32:08Z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