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t xml:space="preserve">Clinical Competency Assessment for Doctor General Practitioner</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Addis Ababa, Ethiopia</w:t>
      </w:r>
    </w:p>
    <w:p>
      <w:pPr>
        <w:pStyle w:val="BodyText"/>
      </w:pPr>
      <w:r>
        <w:rPr>
          <w:bCs/>
          <w:b/>
        </w:rPr>
        <w:t xml:space="preserve">Review Type:</w:t>
      </w:r>
      <w:r>
        <w:t xml:space="preserve"> </w:t>
      </w:r>
      <w:r>
        <w:t xml:space="preserve">Retrospective Case Review &amp; Clinical Audit</w:t>
      </w:r>
    </w:p>
    <w:p>
      <w:pPr>
        <w:pStyle w:val="BodyText"/>
      </w:pPr>
      <w:r>
        <w:rPr>
          <w:bCs/>
          <w:b/>
        </w:rPr>
        <w:t xml:space="preserve">Reporting Body:</w:t>
      </w:r>
      <w:r>
        <w:t xml:space="preserve"> </w:t>
      </w:r>
      <w:r>
        <w:t xml:space="preserve">Addis Ababa Medical Association / Hospital Quality Assurance Committee</w:t>
      </w:r>
    </w:p>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conducted to evaluate the clinical performance, decision-making processes, and adherence to standard medical protocols of a</w:t>
      </w:r>
      <w:r>
        <w:t xml:space="preserve"> </w:t>
      </w:r>
      <w:r>
        <w:rPr>
          <w:bCs/>
          <w:b/>
        </w:rPr>
        <w:t xml:space="preserve">Doctor General Practitioner</w:t>
      </w:r>
      <w:r>
        <w:t xml:space="preserve"> </w:t>
      </w:r>
      <w:r>
        <w:t xml:space="preserve">practicing within the healthcare system of</w:t>
      </w:r>
      <w:r>
        <w:t xml:space="preserve"> </w:t>
      </w:r>
      <w:r>
        <w:rPr>
          <w:bCs/>
          <w:b/>
        </w:rPr>
        <w:t xml:space="preserve">Ethiopia Addis Ababa</w:t>
      </w:r>
      <w:r>
        <w:t xml:space="preserve">.</w:t>
      </w:r>
    </w:p>
    <w:p>
      <w:pPr>
        <w:pStyle w:val="BodyText"/>
      </w:pPr>
      <w:r>
        <w:t xml:space="preserve">The primary objective of this review is to ensure patient safety, enhance the quality of care provided in primary healthcare settings, and align clinical practices with the guidelines established by the Federal Ministry of Health of Ethiopia and the Ethiopian Medical Association. As the capital city, Addis Ababa hosts a diverse population with varying health needs, ranging from communicable diseases prevalent in the region to a rising burden of non-communicable diseases. This report assesses how effectively the practitioner navigates these complex health challenges.</w:t>
      </w:r>
    </w:p>
    <w:bookmarkEnd w:id="21"/>
    <w:bookmarkStart w:id="22" w:name="practitioner-and-facility-details"/>
    <w:p>
      <w:pPr>
        <w:pStyle w:val="Heading2"/>
      </w:pPr>
      <w:r>
        <w:t xml:space="preserve">2. Practitioner and Facility Details</w:t>
      </w:r>
    </w:p>
    <w:p>
      <w:pPr>
        <w:pStyle w:val="FirstParagraph"/>
      </w:pPr>
      <w:r>
        <w:rPr>
          <w:bCs/>
          <w:b/>
        </w:rPr>
        <w:t xml:space="preserve">Practitioner Name:</w:t>
      </w:r>
      <w:r>
        <w:t xml:space="preserve"> </w:t>
      </w:r>
      <w:r>
        <w:t xml:space="preserve">[Dr. Name Redacted for Privacy]</w:t>
      </w:r>
    </w:p>
    <w:p>
      <w:pPr>
        <w:pStyle w:val="BodyText"/>
      </w:pPr>
      <w:r>
        <w:rPr>
          <w:bCs/>
          <w:b/>
        </w:rPr>
        <w:t xml:space="preserve">License Number:</w:t>
      </w:r>
      <w:r>
        <w:t xml:space="preserve"> </w:t>
      </w:r>
      <w:r>
        <w:t xml:space="preserve">EMA-[XXXX]-GP</w:t>
      </w:r>
    </w:p>
    <w:p>
      <w:pPr>
        <w:pStyle w:val="BodyText"/>
      </w:pPr>
      <w:r>
        <w:rPr>
          <w:bCs/>
          <w:b/>
        </w:rPr>
        <w:t xml:space="preserve">Specialty:</w:t>
      </w:r>
      <w:r>
        <w:t xml:space="preserve"> </w:t>
      </w:r>
      <w:r>
        <w:t xml:space="preserve">General Practice</w:t>
      </w:r>
    </w:p>
    <w:p>
      <w:pPr>
        <w:pStyle w:val="BodyText"/>
      </w:pPr>
      <w:r>
        <w:rPr>
          <w:bCs/>
          <w:b/>
        </w:rPr>
        <w:t xml:space="preserve">Facility:</w:t>
      </w:r>
      <w:r>
        <w:t xml:space="preserve"> </w:t>
      </w:r>
      <w:r>
        <w:t xml:space="preserve">[Name of Health Center/Hospital], Addis Ababa</w:t>
      </w:r>
    </w:p>
    <w:bookmarkEnd w:id="22"/>
    <w:bookmarkStart w:id="23" w:name="methodology"/>
    <w:p>
      <w:pPr>
        <w:pStyle w:val="Heading2"/>
      </w:pPr>
      <w:r>
        <w:t xml:space="preserve">3. Methodology</w:t>
      </w:r>
    </w:p>
    <w:p>
      <w:pPr>
        <w:pStyle w:val="FirstParagraph"/>
      </w:pPr>
      <w:r>
        <w:t xml:space="preserve">The peer review process was executed by a panel of three senior physicians, including a specialist in Internal Medicine and a senior General Practitioner, all licensed to practice in Ethiopia. The methodology included:</w:t>
      </w:r>
    </w:p>
    <w:p>
      <w:pPr>
        <w:numPr>
          <w:ilvl w:val="0"/>
          <w:numId w:val="1001"/>
        </w:numPr>
        <w:pStyle w:val="Compact"/>
      </w:pPr>
      <w:r>
        <w:rPr>
          <w:bCs/>
          <w:b/>
        </w:rPr>
        <w:t xml:space="preserve">Case File Audit:</w:t>
      </w:r>
      <w:r>
        <w:t xml:space="preserve"> </w:t>
      </w:r>
      <w:r>
        <w:t xml:space="preserve">A random sampling of 50 patient files from the past six months was reviewed.</w:t>
      </w:r>
    </w:p>
    <w:p>
      <w:pPr>
        <w:numPr>
          <w:ilvl w:val="0"/>
          <w:numId w:val="1001"/>
        </w:numPr>
        <w:pStyle w:val="Compact"/>
      </w:pPr>
      <w:r>
        <w:rPr>
          <w:bCs/>
          <w:b/>
        </w:rPr>
        <w:t xml:space="preserve">Protocol Adherence:</w:t>
      </w:r>
      <w:r>
        <w:t xml:space="preserve"> </w:t>
      </w:r>
      <w:r>
        <w:t xml:space="preserve">Assessment of compliance with the Ethiopian Standard Treatment Guidelines (STG).</w:t>
      </w:r>
    </w:p>
    <w:p>
      <w:pPr>
        <w:numPr>
          <w:ilvl w:val="0"/>
          <w:numId w:val="1001"/>
        </w:numPr>
        <w:pStyle w:val="Compact"/>
      </w:pPr>
      <w:r>
        <w:rPr>
          <w:bCs/>
          <w:b/>
        </w:rPr>
        <w:t xml:space="preserve">Resource Utilization:</w:t>
      </w:r>
      <w:r>
        <w:t xml:space="preserve"> </w:t>
      </w:r>
      <w:r>
        <w:t xml:space="preserve">Evaluation of the appropriate use of diagnostic tools and medications available in the Addis Ababa public and private health sectors.</w:t>
      </w:r>
    </w:p>
    <w:p>
      <w:pPr>
        <w:numPr>
          <w:ilvl w:val="0"/>
          <w:numId w:val="1001"/>
        </w:numPr>
        <w:pStyle w:val="Compact"/>
      </w:pPr>
      <w:r>
        <w:rPr>
          <w:bCs/>
          <w:b/>
        </w:rPr>
        <w:t xml:space="preserve">Referral Patterns:</w:t>
      </w:r>
      <w:r>
        <w:t xml:space="preserve"> </w:t>
      </w:r>
      <w:r>
        <w:t xml:space="preserve">Analysis of referrals to tertiary care centers such as Tikur Anbessa Specialized Hospital.</w:t>
      </w:r>
    </w:p>
    <w:bookmarkEnd w:id="23"/>
    <w:bookmarkStart w:id="27" w:name="clinical-competency-assessment"/>
    <w:p>
      <w:pPr>
        <w:pStyle w:val="Heading2"/>
      </w:pPr>
      <w:r>
        <w:t xml:space="preserve">4. Clinical Competency Assessment</w:t>
      </w:r>
    </w:p>
    <w:bookmarkStart w:id="24" w:name="diagnosis-and-clinical-reasoning"/>
    <w:p>
      <w:pPr>
        <w:pStyle w:val="Heading3"/>
      </w:pPr>
      <w:r>
        <w:t xml:space="preserve">4.1 Diagnosis and Clinical Reasoning</w:t>
      </w:r>
    </w:p>
    <w:p>
      <w:pPr>
        <w:pStyle w:val="FirstParagraph"/>
      </w:pPr>
      <w:r>
        <w:t xml:space="preserve">The</w:t>
      </w:r>
      <w:r>
        <w:t xml:space="preserve"> </w:t>
      </w:r>
      <w:r>
        <w:rPr>
          <w:bCs/>
          <w:b/>
        </w:rPr>
        <w:t xml:space="preserve">Doctor General Practitioner</w:t>
      </w:r>
      <w:r>
        <w:t xml:space="preserve"> </w:t>
      </w:r>
      <w:r>
        <w:t xml:space="preserve">demonstrated a solid foundation in clinical reasoning. In the context of</w:t>
      </w:r>
      <w:r>
        <w:t xml:space="preserve"> </w:t>
      </w:r>
      <w:r>
        <w:rPr>
          <w:bCs/>
          <w:b/>
        </w:rPr>
        <w:t xml:space="preserve">Ethiopia Addis Ababa</w:t>
      </w:r>
      <w:r>
        <w:t xml:space="preserve">, where patients often present with symptoms overlapping between infectious diseases (such as Tuberculosis and Malaria) and non-communicable conditions (such as Hypertension and Diabetes), the practitioner showed commendable diligence in differential diagnosis.</w:t>
      </w:r>
    </w:p>
    <w:p>
      <w:pPr>
        <w:pStyle w:val="BodyText"/>
      </w:pPr>
      <w:r>
        <w:t xml:space="preserve">The review found that the practitioner consistently utilized the Ethiopian National Tuberculosis Prevention and Control Program guidelines when evaluating patients with chronic cough. Furthermore, the assessment of maternal and child health cases adhered to the Integrated Management of Childhood Illness (IMCI) guidelines, which are critical for the demographic profile of the capital city.</w:t>
      </w:r>
    </w:p>
    <w:bookmarkEnd w:id="24"/>
    <w:bookmarkStart w:id="25" w:name="treatment-and-management"/>
    <w:p>
      <w:pPr>
        <w:pStyle w:val="Heading3"/>
      </w:pPr>
      <w:r>
        <w:t xml:space="preserve">4.2 Treatment and Management</w:t>
      </w:r>
    </w:p>
    <w:p>
      <w:pPr>
        <w:pStyle w:val="FirstParagraph"/>
      </w:pPr>
      <w:r>
        <w:t xml:space="preserve">Treatment plans were generally found to be appropriate, evidence-based, and cost-effective. The practitioner showed a good understanding of the Essential Medicines List of Ethiopia. There was a notable effort to prescribe generic medications to ensure affordability for patients, a crucial factor in the Addis Ababa healthcare landscape.</w:t>
      </w:r>
    </w:p>
    <w:p>
      <w:pPr>
        <w:pStyle w:val="BodyText"/>
      </w:pPr>
      <w:r>
        <w:t xml:space="preserve">However, the review noted minor inconsistencies in the documentation of follow-up plans for chronic disease management. While the initial diagnosis of hypertension was accurate, the scheduling of blood pressure monitoring was occasionally vague.</w:t>
      </w:r>
    </w:p>
    <w:bookmarkEnd w:id="25"/>
    <w:bookmarkStart w:id="26" w:name="communication-and-patient-interaction"/>
    <w:p>
      <w:pPr>
        <w:pStyle w:val="Heading3"/>
      </w:pPr>
      <w:r>
        <w:t xml:space="preserve">4.3 Communication and Patient Interaction</w:t>
      </w:r>
    </w:p>
    <w:p>
      <w:pPr>
        <w:pStyle w:val="FirstParagraph"/>
      </w:pPr>
      <w:r>
        <w:t xml:space="preserve">Effective communication is vital in a multicultural environment like Addis Ababa. The</w:t>
      </w:r>
      <w:r>
        <w:t xml:space="preserve"> </w:t>
      </w:r>
      <w:r>
        <w:rPr>
          <w:bCs/>
          <w:b/>
        </w:rPr>
        <w:t xml:space="preserve">Doctor General Practitioner</w:t>
      </w:r>
      <w:r>
        <w:t xml:space="preserve"> </w:t>
      </w:r>
      <w:r>
        <w:t xml:space="preserve">was observed to be empathetic and respectful. The ability to communicate medical advice clearly in Amharic, as well as English, was noted as a strength, ensuring that patients from diverse backgrounds understood their treatment regimens.</w:t>
      </w:r>
    </w:p>
    <w:bookmarkEnd w:id="26"/>
    <w:bookmarkEnd w:id="27"/>
    <w:bookmarkStart w:id="28" w:name="areas-for-improvement"/>
    <w:p>
      <w:pPr>
        <w:pStyle w:val="Heading2"/>
      </w:pPr>
      <w:r>
        <w:t xml:space="preserve">5. Areas for Improvement</w:t>
      </w:r>
    </w:p>
    <w:p>
      <w:pPr>
        <w:pStyle w:val="FirstParagraph"/>
      </w:pPr>
      <w:r>
        <w:t xml:space="preserve">While the overall performance is satisfactory, the</w:t>
      </w:r>
      <w:r>
        <w:t xml:space="preserve"> </w:t>
      </w:r>
      <w:r>
        <w:rPr>
          <w:bCs/>
          <w:b/>
        </w:rPr>
        <w:t xml:space="preserve">Peer Review Report</w:t>
      </w:r>
      <w:r>
        <w:t xml:space="preserve"> </w:t>
      </w:r>
      <w:r>
        <w:t xml:space="preserve">highlights specific areas requiring attention to elevate the standard of care:</w:t>
      </w:r>
    </w:p>
    <w:p>
      <w:pPr>
        <w:numPr>
          <w:ilvl w:val="0"/>
          <w:numId w:val="1002"/>
        </w:numPr>
        <w:pStyle w:val="Compact"/>
      </w:pPr>
      <w:r>
        <w:rPr>
          <w:bCs/>
          <w:b/>
        </w:rPr>
        <w:t xml:space="preserve">Documentation Standards:</w:t>
      </w:r>
      <w:r>
        <w:t xml:space="preserve"> </w:t>
      </w:r>
      <w:r>
        <w:t xml:space="preserve">Medical records must be more comprehensive. Detailed notes on patient history, physical examination findings, and specific rationale for treatment choices are required to meet the accreditation standards of the Ethiopian Food and Drug Authority (EFDA) and hospital administration.</w:t>
      </w:r>
    </w:p>
    <w:p>
      <w:pPr>
        <w:numPr>
          <w:ilvl w:val="0"/>
          <w:numId w:val="1002"/>
        </w:numPr>
        <w:pStyle w:val="Compact"/>
      </w:pPr>
      <w:r>
        <w:rPr>
          <w:bCs/>
          <w:b/>
        </w:rPr>
        <w:t xml:space="preserve">Antibiotic Stewardship:</w:t>
      </w:r>
      <w:r>
        <w:t xml:space="preserve"> </w:t>
      </w:r>
      <w:r>
        <w:t xml:space="preserve">There is a need for stricter adherence to antibiotic stewardship protocols to combat antimicrobial resistance, a growing concern in Ethiopia. Prescriptions for antibiotics should be more strictly justified by clinical evidence or laboratory results.</w:t>
      </w:r>
    </w:p>
    <w:p>
      <w:pPr>
        <w:numPr>
          <w:ilvl w:val="0"/>
          <w:numId w:val="1002"/>
        </w:numPr>
        <w:pStyle w:val="Compact"/>
      </w:pPr>
      <w:r>
        <w:rPr>
          <w:bCs/>
          <w:b/>
        </w:rPr>
        <w:t xml:space="preserve">Referral Coordination:</w:t>
      </w:r>
      <w:r>
        <w:t xml:space="preserve"> </w:t>
      </w:r>
      <w:r>
        <w:t xml:space="preserve">The process of referring complex cases to specialized centers in Addis Ababa needs better documentation. The practitioner should ensure that referral letters contain all necessary clinical data to facilitate seamless care at the receiving facility.</w:t>
      </w:r>
    </w:p>
    <w:bookmarkEnd w:id="28"/>
    <w:bookmarkStart w:id="31" w:name="conclusion-and-recommendations"/>
    <w:p>
      <w:pPr>
        <w:pStyle w:val="Heading2"/>
      </w:pPr>
      <w:r>
        <w:t xml:space="preserve">6. Conclusion and Recommendations</w:t>
      </w:r>
    </w:p>
    <w:p>
      <w:pPr>
        <w:pStyle w:val="FirstParagraph"/>
      </w:pPr>
      <w:r>
        <w:t xml:space="preserve">Based on the comprehensive evaluation, the</w:t>
      </w:r>
      <w:r>
        <w:t xml:space="preserve"> </w:t>
      </w:r>
      <w:r>
        <w:rPr>
          <w:bCs/>
          <w:b/>
        </w:rPr>
        <w:t xml:space="preserve">Doctor General Practitioner</w:t>
      </w:r>
      <w:r>
        <w:t xml:space="preserve"> </w:t>
      </w:r>
      <w:r>
        <w:t xml:space="preserve">is deemed competent to continue practicing in</w:t>
      </w:r>
      <w:r>
        <w:t xml:space="preserve"> </w:t>
      </w:r>
      <w:r>
        <w:rPr>
          <w:bCs/>
          <w:b/>
        </w:rPr>
        <w:t xml:space="preserve">Ethiopia Addis Ababa</w:t>
      </w:r>
      <w:r>
        <w:t xml:space="preserve">. The practitioner plays a vital role in the primary healthcare tier, serving as the first point of contact for the community.</w:t>
      </w:r>
    </w:p>
    <w:p>
      <w:pPr>
        <w:pStyle w:val="BodyText"/>
      </w:pPr>
      <w:r>
        <w:rPr>
          <w:bCs/>
          <w:b/>
        </w:rPr>
        <w:t xml:space="preserve">Recommendations:</w:t>
      </w:r>
    </w:p>
    <w:p>
      <w:pPr>
        <w:numPr>
          <w:ilvl w:val="0"/>
          <w:numId w:val="1003"/>
        </w:numPr>
        <w:pStyle w:val="Compact"/>
      </w:pPr>
      <w:r>
        <w:t xml:space="preserve">Continue professional development through Continuing Medical Education (CME) programs offered by the Ethiopian Medical Association.</w:t>
      </w:r>
    </w:p>
    <w:p>
      <w:pPr>
        <w:numPr>
          <w:ilvl w:val="0"/>
          <w:numId w:val="1003"/>
        </w:numPr>
        <w:pStyle w:val="Compact"/>
      </w:pPr>
      <w:r>
        <w:t xml:space="preserve">Implement a structured template for chronic disease follow-up to improve patient outcomes.</w:t>
      </w:r>
    </w:p>
    <w:p>
      <w:pPr>
        <w:numPr>
          <w:ilvl w:val="0"/>
          <w:numId w:val="1003"/>
        </w:numPr>
        <w:pStyle w:val="Compact"/>
      </w:pPr>
      <w:r>
        <w:t xml:space="preserve">Participate in a workshop on antimicrobial stewardship within the next six months.</w:t>
      </w:r>
    </w:p>
    <w:p>
      <w:pPr>
        <w:pStyle w:val="FirstParagraph"/>
      </w:pPr>
      <w:r>
        <w:t xml:space="preserve">This</w:t>
      </w:r>
      <w:r>
        <w:t xml:space="preserve"> </w:t>
      </w:r>
      <w:r>
        <w:rPr>
          <w:bCs/>
          <w:b/>
        </w:rPr>
        <w:t xml:space="preserve">Peer Review Report</w:t>
      </w:r>
      <w:r>
        <w:t xml:space="preserve"> </w:t>
      </w:r>
      <w:r>
        <w:t xml:space="preserve">is intended to be a constructive tool for professional growth, ensuring that the healthcare services provided in Addis Ababa remain safe, effective, and patient-centered.</w:t>
      </w:r>
    </w:p>
    <w:bookmarkStart w:id="29" w:name="reviewed-by"/>
    <w:p>
      <w:pPr>
        <w:pStyle w:val="Heading3"/>
      </w:pPr>
      <w:r>
        <w:t xml:space="preserve">Reviewed By:</w:t>
      </w:r>
    </w:p>
    <w:p>
      <w:pPr>
        <w:pStyle w:val="FirstParagraph"/>
      </w:pPr>
      <w:r>
        <w:rPr>
          <w:bCs/>
          <w:b/>
        </w:rPr>
        <w:t xml:space="preserve">Dr. Abebe Kebede</w:t>
      </w:r>
      <w:r>
        <w:br/>
      </w:r>
      <w:r>
        <w:t xml:space="preserve">Senior Internal Medicine Specialist</w:t>
      </w:r>
      <w:r>
        <w:br/>
      </w:r>
      <w:r>
        <w:t xml:space="preserve">Addis Ababa University</w:t>
      </w:r>
    </w:p>
    <w:bookmarkEnd w:id="29"/>
    <w:bookmarkStart w:id="30" w:name="co-reviewer"/>
    <w:p>
      <w:pPr>
        <w:pStyle w:val="Heading3"/>
      </w:pPr>
      <w:r>
        <w:t xml:space="preserve">Co-Reviewer:</w:t>
      </w:r>
    </w:p>
    <w:p>
      <w:pPr>
        <w:pStyle w:val="FirstParagraph"/>
      </w:pPr>
      <w:r>
        <w:rPr>
          <w:bCs/>
          <w:b/>
        </w:rPr>
        <w:t xml:space="preserve">Dr. Sara Tadesse</w:t>
      </w:r>
      <w:r>
        <w:br/>
      </w:r>
      <w:r>
        <w:t xml:space="preserve">Senior General Practitioner</w:t>
      </w:r>
      <w:r>
        <w:br/>
      </w:r>
      <w:r>
        <w:t xml:space="preserve">Ethiopian Medical Association</w:t>
      </w:r>
    </w:p>
    <w:bookmarkEnd w:id="30"/>
    <w:p>
      <w:pPr>
        <w:pStyle w:val="BodyText"/>
      </w:pPr>
      <w:r>
        <w:t xml:space="preserve">Confidentiality Notice: This document contains sensitive medical and professional information. It is intended solely for the use of the individual or entity to whom it is addressed and should not be distributed, copied, or disclosed to unauthorized parties. This report is governed by the laws and regulations of the Federal Democratic Republic of Ethiopia.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Addis Ababa, Ethiopia</dc:title>
  <dc:creator/>
  <dc:language>en</dc:language>
  <cp:keywords/>
  <dcterms:created xsi:type="dcterms:W3CDTF">2026-10-10T02:00:09Z</dcterms:created>
  <dcterms:modified xsi:type="dcterms:W3CDTF">2026-10-10T02:00:09Z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