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Kuala</w:t>
      </w:r>
      <w:r>
        <w:t xml:space="preserve"> </w:t>
      </w:r>
      <w:r>
        <w:t xml:space="preserve">Lumpur,</w:t>
      </w:r>
      <w:r>
        <w:t xml:space="preserve"> </w:t>
      </w:r>
      <w:r>
        <w:t xml:space="preserve">Malaysia</w:t>
      </w:r>
    </w:p>
    <w:bookmarkStart w:id="28" w:name="peer-review-report"/>
    <w:p>
      <w:pPr>
        <w:pStyle w:val="Heading1"/>
      </w:pPr>
      <w:r>
        <w:t xml:space="preserve">Peer Review Report</w:t>
      </w:r>
    </w:p>
    <w:p>
      <w:pPr>
        <w:pStyle w:val="FirstParagraph"/>
      </w:pPr>
      <w:r>
        <w:t xml:space="preserve">Clinical Competency and Professional Practice Assessment</w:t>
      </w:r>
    </w:p>
    <w:p>
      <w:pPr>
        <w:pStyle w:val="BodyText"/>
      </w:pPr>
      <w:r>
        <w:rPr>
          <w:bCs/>
          <w:b/>
        </w:rPr>
        <w:t xml:space="preserve">Subject of Review:</w:t>
      </w:r>
      <w:r>
        <w:t xml:space="preserve"> </w:t>
      </w:r>
      <w:r>
        <w:t xml:space="preserve">Doctor General Practitioner</w:t>
      </w:r>
      <w:r>
        <w:br/>
      </w:r>
      <w:r>
        <w:rPr>
          <w:bCs/>
          <w:b/>
        </w:rPr>
        <w:t xml:space="preserve">Registration Number:</w:t>
      </w:r>
      <w:r>
        <w:t xml:space="preserve"> </w:t>
      </w:r>
      <w:r>
        <w:t xml:space="preserve">MMC Reg. No. [Insert Number]</w:t>
      </w:r>
      <w:r>
        <w:br/>
      </w:r>
      <w:r>
        <w:rPr>
          <w:bCs/>
          <w:b/>
        </w:rPr>
        <w:t xml:space="preserve">Specialty:</w:t>
      </w:r>
      <w:r>
        <w:t xml:space="preserve"> </w:t>
      </w:r>
      <w:r>
        <w:t xml:space="preserve">General Practice / Family Medicine</w:t>
      </w:r>
      <w:r>
        <w:br/>
      </w:r>
      <w:r>
        <w:rPr>
          <w:bCs/>
          <w:b/>
        </w:rPr>
        <w:t xml:space="preserve">Location:</w:t>
      </w:r>
      <w:r>
        <w:t xml:space="preserve"> </w:t>
      </w:r>
      <w:r>
        <w:t xml:space="preserve">Kuala Lumpur, Malaysia</w:t>
      </w:r>
    </w:p>
    <w:p>
      <w:pPr>
        <w:pStyle w:val="BodyText"/>
      </w:pPr>
      <w:r>
        <w:rPr>
          <w:bCs/>
          <w:b/>
        </w:rPr>
        <w:t xml:space="preserve">Reviewing Body:</w:t>
      </w:r>
      <w:r>
        <w:t xml:space="preserve"> </w:t>
      </w:r>
      <w:r>
        <w:t xml:space="preserve">Medical Board / Hospital Quality Assurance Committee</w:t>
      </w:r>
      <w:r>
        <w:br/>
      </w:r>
      <w:r>
        <w:rPr>
          <w:bCs/>
          <w:b/>
        </w:rPr>
        <w:t xml:space="preserve">Date of Review:</w:t>
      </w:r>
      <w:r>
        <w:t xml:space="preserve"> </w:t>
      </w:r>
      <w:r>
        <w:t xml:space="preserve">[Insert Date]</w:t>
      </w:r>
      <w:r>
        <w:br/>
      </w:r>
      <w:r>
        <w:rPr>
          <w:bCs/>
          <w:b/>
        </w:rPr>
        <w:t xml:space="preserve">Review Period:</w:t>
      </w:r>
      <w:r>
        <w:t xml:space="preserve"> </w:t>
      </w:r>
      <w:r>
        <w:t xml:space="preserve">[Insert Start Date] to [Insert End Date]</w:t>
      </w:r>
      <w:r>
        <w:br/>
      </w:r>
      <w:r>
        <w:rPr>
          <w:bCs/>
          <w:b/>
        </w:rPr>
        <w:t xml:space="preserve">Report Reference:</w:t>
      </w:r>
      <w:r>
        <w:t xml:space="preserve"> </w:t>
      </w:r>
      <w:r>
        <w:t xml:space="preserve">PR-KL-GP-[Insert ID]</w:t>
      </w:r>
    </w:p>
    <w:bookmarkStart w:id="20" w:name="introduction-and-scope"/>
    <w:p>
      <w:pPr>
        <w:pStyle w:val="Heading2"/>
      </w:pPr>
      <w:r>
        <w:t xml:space="preserve">1. Introduction and Scope</w:t>
      </w:r>
    </w:p>
    <w:p>
      <w:pPr>
        <w:pStyle w:val="FirstParagraph"/>
      </w:pPr>
      <w:r>
        <w:t xml:space="preserve">This Peer Review Report has been compiled to evaluate the clinical performance, professional conduct, and administrative compliance of the Doctor General Practitioner operating within the healthcare ecosystem of Malaysia Kuala Lumpur. The review is conducted in strict adherence to the guidelines set forth by the Malaysian Medical Council (MMC) and the Malaysian Medical Association (MMA). The primary objective is to ensure that the practitioner maintains the highest standards of patient care, diagnostic accuracy, and ethical behavior expected of a medical professional in the capital region.</w:t>
      </w:r>
    </w:p>
    <w:p>
      <w:pPr>
        <w:pStyle w:val="BodyText"/>
      </w:pPr>
      <w:r>
        <w:t xml:space="preserve">The scope of this assessment covers clinical case management, adherence to standard operating procedures (SOPs), patient communication skills, record-keeping, and the management of chronic diseases prevalent in the Kuala Lumpur demographic. This document serves as a formal record of the peer review process, highlighting areas of excellence and identifying opportunities for professional development.</w:t>
      </w:r>
    </w:p>
    <w:bookmarkEnd w:id="20"/>
    <w:bookmarkStart w:id="21" w:name="clinical-competency-and-case-management"/>
    <w:p>
      <w:pPr>
        <w:pStyle w:val="Heading2"/>
      </w:pPr>
      <w:r>
        <w:t xml:space="preserve">2. Clinical Competency and Case Management</w:t>
      </w:r>
    </w:p>
    <w:p>
      <w:pPr>
        <w:pStyle w:val="FirstParagraph"/>
      </w:pPr>
      <w:r>
        <w:t xml:space="preserve">The Doctor General Practitioner was assessed based on a random selection of medical records and direct observation of clinical consultations. The review focused on the management of acute and chronic conditions common in Malaysia Kuala Lumpur, including diabetes mellitus, hypertension, respiratory infections, and lifestyle-related disorders.</w:t>
      </w:r>
    </w:p>
    <w:p>
      <w:pPr>
        <w:pStyle w:val="BodyText"/>
      </w:pPr>
      <w:r>
        <w:rPr>
          <w:bCs/>
          <w:b/>
        </w:rPr>
        <w:t xml:space="preserve">Diagnostic Accuracy:</w:t>
      </w:r>
      <w:r>
        <w:t xml:space="preserve"> </w:t>
      </w:r>
      <w:r>
        <w:t xml:space="preserve">The practitioner demonstrated a high level of diagnostic acumen. History taking was thorough, and physical examinations were conducted systematically. The differential diagnoses presented in the reviewed cases were logical and evidence-based. The Doctor General Practitioner showed a strong ability to distinguish between minor ailments and conditions requiring urgent referral to tertiary care centers in Kuala Lumpur, such as Hospital Kuala Lumpur or University Malaya Medical Centre.</w:t>
      </w:r>
    </w:p>
    <w:p>
      <w:pPr>
        <w:pStyle w:val="BodyText"/>
      </w:pPr>
      <w:r>
        <w:rPr>
          <w:bCs/>
          <w:b/>
        </w:rPr>
        <w:t xml:space="preserve">Treatment Protocols:</w:t>
      </w:r>
      <w:r>
        <w:t xml:space="preserve"> </w:t>
      </w:r>
      <w:r>
        <w:t xml:space="preserve">Prescribing practices were found to be consistent with the National Formulary of Malaysia and current clinical guidelines. There was appropriate stewardship of antibiotics, minimizing the risk of antimicrobial resistance. The management of chronic diseases showed a proactive approach, with regular monitoring of HbA1c levels, blood pressure, and lipid profiles. The practitioner effectively utilized the "MySejahtera" ecosystem and other digital health tools available in Malaysia to track patient health metrics.</w:t>
      </w:r>
    </w:p>
    <w:bookmarkEnd w:id="21"/>
    <w:bookmarkStart w:id="22" w:name="professional-conduct-and-ethics"/>
    <w:p>
      <w:pPr>
        <w:pStyle w:val="Heading2"/>
      </w:pPr>
      <w:r>
        <w:t xml:space="preserve">3. Professional Conduct and Ethics</w:t>
      </w:r>
    </w:p>
    <w:p>
      <w:pPr>
        <w:pStyle w:val="FirstParagraph"/>
      </w:pPr>
      <w:r>
        <w:t xml:space="preserve">Ethical practice is paramount for any Doctor General Practitioner. This review assessed the practitioner's adherence to the Code of Ethics of the Malaysian Medical Council. The practitioner was observed to maintain strict patient confidentiality and obtained informed consent for all procedures and treatments.</w:t>
      </w:r>
    </w:p>
    <w:p>
      <w:pPr>
        <w:pStyle w:val="BodyText"/>
      </w:pPr>
      <w:r>
        <w:t xml:space="preserve">The professional relationship with colleagues, including specialists and allied health professionals in the Kuala Lumpur area, was rated as collaborative and respectful. The Doctor General Practitioner demonstrated humility in seeking second opinions when cases exceeded the scope of general practice, ensuring that patient safety remained the priority. There were no recorded complaints regarding professional misconduct or ethical breaches during the review period.</w:t>
      </w:r>
    </w:p>
    <w:bookmarkEnd w:id="22"/>
    <w:bookmarkStart w:id="23" w:name="patient-communication-and-satisfaction"/>
    <w:p>
      <w:pPr>
        <w:pStyle w:val="Heading2"/>
      </w:pPr>
      <w:r>
        <w:t xml:space="preserve">4. Patient Communication and Satisfaction</w:t>
      </w:r>
    </w:p>
    <w:p>
      <w:pPr>
        <w:pStyle w:val="FirstParagraph"/>
      </w:pPr>
      <w:r>
        <w:t xml:space="preserve">Effective communication is a critical component of general practice. The Doctor General Practitioner was evaluated on their ability to communicate complex medical information in a manner understandable to patients from diverse cultural and linguistic backgrounds, reflecting the multicultural society of Malaysia Kuala Lumpur.</w:t>
      </w:r>
    </w:p>
    <w:p>
      <w:pPr>
        <w:pStyle w:val="BodyText"/>
      </w:pPr>
      <w:r>
        <w:t xml:space="preserve">Feedback from patient surveys indicated high satisfaction levels. Patients reported feeling heard and respected. The practitioner was noted for their empathy and patience, particularly when dealing with elderly patients or those with limited health literacy. The ability to counsel patients on lifestyle modifications, such as diet and exercise, was particularly effective in managing the rising rates of non-communicable diseases in the region.</w:t>
      </w:r>
    </w:p>
    <w:bookmarkEnd w:id="23"/>
    <w:bookmarkStart w:id="24" w:name="documentation-and-record-keeping"/>
    <w:p>
      <w:pPr>
        <w:pStyle w:val="Heading2"/>
      </w:pPr>
      <w:r>
        <w:t xml:space="preserve">5. Documentation and Record Keeping</w:t>
      </w:r>
    </w:p>
    <w:p>
      <w:pPr>
        <w:pStyle w:val="FirstParagraph"/>
      </w:pPr>
      <w:r>
        <w:t xml:space="preserve">Accurate medical documentation is essential for continuity of care and legal protection. The review of the Doctor General Practitioner's medical records revealed a high standard of documentation. Electronic Medical Records (EMR) were updated promptly after each consultation.</w:t>
      </w:r>
    </w:p>
    <w:p>
      <w:pPr>
        <w:pStyle w:val="BodyText"/>
      </w:pPr>
      <w:r>
        <w:t xml:space="preserve">Entries were clear, concise, and included all necessary details such as vital signs, clinical findings, diagnosis, treatment plan, and follow-up instructions. The records complied with the Personal Data Protection Act (PDPA) of Malaysia. However, it was noted that some medication lists could be more clearly formatted to avoid potential confusion during handovers.</w:t>
      </w:r>
    </w:p>
    <w:bookmarkEnd w:id="24"/>
    <w:bookmarkStart w:id="25" w:name="continuing-professional-development-cpd"/>
    <w:p>
      <w:pPr>
        <w:pStyle w:val="Heading2"/>
      </w:pPr>
      <w:r>
        <w:t xml:space="preserve">6. Continuing Professional Development (CPD)</w:t>
      </w:r>
    </w:p>
    <w:p>
      <w:pPr>
        <w:pStyle w:val="FirstParagraph"/>
      </w:pPr>
      <w:r>
        <w:t xml:space="preserve">The Doctor General Practitioner has actively participated in Continuing Professional Development activities. The review confirmed attendance at relevant medical conferences, workshops, and seminars held in Kuala Lumpur and across Malaysia. The practitioner has maintained the required CPD points as mandated by the Malaysian Medical Council.</w:t>
      </w:r>
    </w:p>
    <w:p>
      <w:pPr>
        <w:pStyle w:val="BodyText"/>
      </w:pPr>
      <w:r>
        <w:t xml:space="preserve">The practitioner has shown a commitment to staying updated with the latest medical advancements, particularly in the fields of infectious diseases and digital health integration. This dedication to lifelong learning ensures that the quality of care provided remains at the forefront of medical science.</w:t>
      </w:r>
    </w:p>
    <w:bookmarkEnd w:id="25"/>
    <w:bookmarkStart w:id="26" w:name="areas-for-improvement"/>
    <w:p>
      <w:pPr>
        <w:pStyle w:val="Heading2"/>
      </w:pPr>
      <w:r>
        <w:t xml:space="preserve">7. Areas for Improvement</w:t>
      </w:r>
    </w:p>
    <w:p>
      <w:pPr>
        <w:pStyle w:val="FirstParagraph"/>
      </w:pPr>
      <w:r>
        <w:t xml:space="preserve">While the overall performance of the Doctor General Practitioner is commendable, the following areas have been identified for improvement:</w:t>
      </w:r>
    </w:p>
    <w:p>
      <w:pPr>
        <w:numPr>
          <w:ilvl w:val="0"/>
          <w:numId w:val="1001"/>
        </w:numPr>
        <w:pStyle w:val="Compact"/>
      </w:pPr>
      <w:r>
        <w:rPr>
          <w:bCs/>
          <w:b/>
        </w:rPr>
        <w:t xml:space="preserve">Time Management:</w:t>
      </w:r>
      <w:r>
        <w:t xml:space="preserve"> </w:t>
      </w:r>
      <w:r>
        <w:t xml:space="preserve">During peak hours, consultation times were occasionally shortened. Implementing stricter scheduling protocols could enhance the quality of interaction with each patient.</w:t>
      </w:r>
    </w:p>
    <w:p>
      <w:pPr>
        <w:numPr>
          <w:ilvl w:val="0"/>
          <w:numId w:val="1001"/>
        </w:numPr>
        <w:pStyle w:val="Compact"/>
      </w:pPr>
      <w:r>
        <w:rPr>
          <w:bCs/>
          <w:b/>
        </w:rPr>
        <w:t xml:space="preserve">Preventive Health Screening:</w:t>
      </w:r>
      <w:r>
        <w:t xml:space="preserve"> </w:t>
      </w:r>
      <w:r>
        <w:t xml:space="preserve">While chronic disease management is strong, there is an opportunity to increase the proactive screening for conditions such as colorectal cancer and osteoporosis among the aging population in Kuala Lumpur.</w:t>
      </w:r>
    </w:p>
    <w:p>
      <w:pPr>
        <w:numPr>
          <w:ilvl w:val="0"/>
          <w:numId w:val="1001"/>
        </w:numPr>
        <w:pStyle w:val="Compact"/>
      </w:pPr>
      <w:r>
        <w:rPr>
          <w:bCs/>
          <w:b/>
        </w:rPr>
        <w:t xml:space="preserve">Documentation Detail:</w:t>
      </w:r>
      <w:r>
        <w:t xml:space="preserve"> </w:t>
      </w:r>
      <w:r>
        <w:t xml:space="preserve">As noted, medication lists should be standardized for clarity.</w:t>
      </w:r>
    </w:p>
    <w:bookmarkEnd w:id="26"/>
    <w:bookmarkStart w:id="27" w:name="conclusion-and-recommendations"/>
    <w:p>
      <w:pPr>
        <w:pStyle w:val="Heading2"/>
      </w:pPr>
      <w:r>
        <w:t xml:space="preserve">8. Conclusion and Recommendations</w:t>
      </w:r>
    </w:p>
    <w:p>
      <w:pPr>
        <w:pStyle w:val="FirstParagraph"/>
      </w:pPr>
      <w:r>
        <w:t xml:space="preserve">In conclusion, the Doctor General Practitioner under review has demonstrated a high level of clinical competence, professional integrity, and dedication to patient care. The practitioner is well-suited to the demands of general practice in Malaysia Kuala Lumpur and contributes positively to the healthcare community.</w:t>
      </w:r>
    </w:p>
    <w:p>
      <w:pPr>
        <w:pStyle w:val="BodyText"/>
      </w:pPr>
      <w:r>
        <w:rPr>
          <w:bCs/>
          <w:b/>
        </w:rPr>
        <w:t xml:space="preserve">Recommendation:</w:t>
      </w:r>
      <w:r>
        <w:t xml:space="preserve"> </w:t>
      </w:r>
      <w:r>
        <w:t xml:space="preserve">The Peer Review Committee recommends the renewal of the practitioner's clinical privileges. It is advised that the Doctor General Practitioner addresses the identified areas for improvement within the next six months. A follow-up review will be conducted to assess progress in these areas.</w:t>
      </w:r>
    </w:p>
    <w:p>
      <w:pPr>
        <w:pStyle w:val="BodyText"/>
      </w:pPr>
      <w:r>
        <w:rPr>
          <w:bCs/>
          <w:b/>
        </w:rPr>
        <w:t xml:space="preserve">Reviewed By:</w:t>
      </w:r>
      <w:r>
        <w:br/>
      </w:r>
      <w:r>
        <w:t xml:space="preserve">Dr. [Name of Reviewer]</w:t>
      </w:r>
      <w:r>
        <w:br/>
      </w:r>
      <w:r>
        <w:t xml:space="preserve">Senior Consultant / Peer Review Lead</w:t>
      </w:r>
      <w:r>
        <w:br/>
      </w:r>
      <w:r>
        <w:t xml:space="preserve">Signature: ______________________</w:t>
      </w:r>
      <w:r>
        <w:br/>
      </w:r>
      <w:r>
        <w:t xml:space="preserve">Date: ______________________</w:t>
      </w:r>
    </w:p>
    <w:p>
      <w:pPr>
        <w:pStyle w:val="BodyText"/>
      </w:pPr>
      <w:r>
        <w:rPr>
          <w:bCs/>
          <w:b/>
        </w:rPr>
        <w:t xml:space="preserve">Approved By:</w:t>
      </w:r>
      <w:r>
        <w:br/>
      </w:r>
      <w:r>
        <w:t xml:space="preserve">[Name of Committee Head]</w:t>
      </w:r>
      <w:r>
        <w:br/>
      </w:r>
      <w:r>
        <w:t xml:space="preserve">Head of Medical Quality Assurance</w:t>
      </w:r>
      <w:r>
        <w:br/>
      </w:r>
      <w:r>
        <w:t xml:space="preserve">Signature: ______________________</w:t>
      </w:r>
      <w:r>
        <w:br/>
      </w:r>
      <w:r>
        <w:t xml:space="preserve">Date: ______________________</w:t>
      </w:r>
    </w:p>
    <w:p>
      <w:pPr>
        <w:pStyle w:val="BodyText"/>
      </w:pPr>
      <w:r>
        <w:t xml:space="preserve">This document is confidential and intended solely for the use of the individual(s) or entity to whom it is addressed. Unauthorized distribution is prohibited.</w:t>
      </w:r>
    </w:p>
    <w:p>
      <w:pPr>
        <w:pStyle w:val="BodyText"/>
      </w:pPr>
      <w:r>
        <w:t xml:space="preserve">© [Year] Medical Peer Review Committee, Kuala Lumpur, Malaysia.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Kuala Lumpur, Malaysia</dc:title>
  <dc:creator/>
  <dc:language>en</dc:language>
  <cp:keywords/>
  <dcterms:created xsi:type="dcterms:W3CDTF">2026-10-10T07:08:59Z</dcterms:created>
  <dcterms:modified xsi:type="dcterms:W3CDTF">2026-10-10T07:08:59Z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