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General</w:t>
      </w:r>
      <w:r>
        <w:t xml:space="preserve"> </w:t>
      </w:r>
      <w:r>
        <w:t xml:space="preserve">Practitioner</w:t>
      </w:r>
    </w:p>
    <w:bookmarkStart w:id="21" w:name="confidential-peer-review-report"/>
    <w:p>
      <w:pPr>
        <w:pStyle w:val="Heading1"/>
      </w:pPr>
      <w:r>
        <w:t xml:space="preserve">CONFIDENTIAL PEER REVIEW REPORT</w:t>
      </w:r>
    </w:p>
    <w:bookmarkStart w:id="20" w:name="X12af7728d15fefa3d804b9ca8a568b9fe3b1664"/>
    <w:p>
      <w:pPr>
        <w:pStyle w:val="Heading2"/>
      </w:pPr>
      <w:r>
        <w:t xml:space="preserve">General Practitioner Clinical Performance Evaluation</w:t>
      </w:r>
    </w:p>
    <w:p>
      <w:pPr>
        <w:pStyle w:val="FirstParagraph"/>
      </w:pPr>
      <w:r>
        <w:rPr>
          <w:bCs/>
          <w:b/>
        </w:rPr>
        <w:t xml:space="preserve">Location:</w:t>
      </w:r>
      <w:r>
        <w:t xml:space="preserve"> </w:t>
      </w:r>
      <w:r>
        <w:t xml:space="preserve">Riyadh, Saudi Arabia |</w:t>
      </w:r>
      <w:r>
        <w:t xml:space="preserve"> </w:t>
      </w:r>
      <w:r>
        <w:rPr>
          <w:bCs/>
          <w:b/>
        </w:rPr>
        <w:t xml:space="preserve">Regulatory Context:</w:t>
      </w:r>
      <w:r>
        <w:t xml:space="preserve"> </w:t>
      </w:r>
      <w:r>
        <w:t xml:space="preserve">Saudi Commission for Health Specialties (SCFHS)</w:t>
      </w:r>
    </w:p>
    <w:bookmarkEnd w:id="20"/>
    <w:bookmarkEnd w:id="21"/>
    <w:p>
      <w:pPr>
        <w:pStyle w:val="BodyText"/>
      </w:pPr>
      <w:r>
        <w:t xml:space="preserve">1. Executive Summary and Scope</w:t>
      </w:r>
    </w:p>
    <w:p>
      <w:pPr>
        <w:pStyle w:val="BodyText"/>
      </w:pPr>
      <w:r>
        <w:t xml:space="preserve">This Peer Review Report has been conducted in strict accordance with the clinical governance standards mandated by the Ministry of Health (MOH) and the Saudi Commission for Health Specialties (SCFHS) within the Kingdom of Saudi Arabia. The primary objective of this review is to evaluate the clinical competence, professional conduct, and patient safety protocols of a Doctor General Practitioner currently practicing in Riyadh.</w:t>
      </w:r>
    </w:p>
    <w:p>
      <w:pPr>
        <w:pStyle w:val="BodyText"/>
      </w:pPr>
      <w:r>
        <w:t xml:space="preserve">As the healthcare landscape in Riyadh continues to evolve under the Vision 2030 framework, the role of the General Practitioner (GP) has become increasingly pivotal. GPs serve as the first point of contact for a diverse demographic, requiring not only medical proficiency but also cultural sensitivity and adherence to local regulatory frameworks. This document serves as a formal assessment of the physician's ability to deliver high-quality primary care, manage chronic conditions prevalent in the region, and maintain the ethical standards expected of medical professionals in Saudi Arabia.</w:t>
      </w:r>
    </w:p>
    <w:p>
      <w:pPr>
        <w:pStyle w:val="BodyText"/>
      </w:pPr>
      <w:r>
        <w:t xml:space="preserve">2. Physician and Review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Physician Name</w:t>
            </w:r>
          </w:p>
        </w:tc>
        <w:tc>
          <w:tcPr/>
          <w:p>
            <w:pPr>
              <w:pStyle w:val="Compact"/>
              <w:jc w:val="left"/>
            </w:pPr>
            <w:r>
              <w:t xml:space="preserve">[Insert Physician Name]</w:t>
            </w:r>
          </w:p>
        </w:tc>
      </w:tr>
      <w:tr>
        <w:tc>
          <w:tcPr/>
          <w:p>
            <w:pPr>
              <w:pStyle w:val="Compact"/>
              <w:jc w:val="left"/>
            </w:pPr>
            <w:r>
              <w:t xml:space="preserve">Specialty</w:t>
            </w:r>
          </w:p>
        </w:tc>
        <w:tc>
          <w:tcPr/>
          <w:p>
            <w:pPr>
              <w:pStyle w:val="Compact"/>
              <w:jc w:val="left"/>
            </w:pPr>
            <w:r>
              <w:t xml:space="preserve">General Practitioner (GP)</w:t>
            </w:r>
          </w:p>
        </w:tc>
      </w:tr>
      <w:tr>
        <w:tc>
          <w:tcPr/>
          <w:p>
            <w:pPr>
              <w:pStyle w:val="Compact"/>
              <w:jc w:val="left"/>
            </w:pPr>
            <w:r>
              <w:t xml:space="preserve">SCFHS License Number</w:t>
            </w:r>
          </w:p>
        </w:tc>
        <w:tc>
          <w:tcPr/>
          <w:p>
            <w:pPr>
              <w:pStyle w:val="Compact"/>
              <w:jc w:val="left"/>
            </w:pPr>
            <w:r>
              <w:t xml:space="preserve">[Insert License Number]</w:t>
            </w:r>
          </w:p>
        </w:tc>
      </w:tr>
      <w:tr>
        <w:tc>
          <w:tcPr/>
          <w:p>
            <w:pPr>
              <w:pStyle w:val="Compact"/>
              <w:jc w:val="left"/>
            </w:pPr>
            <w:r>
              <w:t xml:space="preserve">Facility Location</w:t>
            </w:r>
          </w:p>
        </w:tc>
        <w:tc>
          <w:tcPr/>
          <w:p>
            <w:pPr>
              <w:pStyle w:val="Compact"/>
              <w:jc w:val="left"/>
            </w:pPr>
            <w:r>
              <w:t xml:space="preserve">[Insert Clinic/Hospital Name], Riyadh, Saudi Arabia</w:t>
            </w:r>
          </w:p>
        </w:tc>
      </w:tr>
      <w:tr>
        <w:tc>
          <w:tcPr/>
          <w:p>
            <w:pPr>
              <w:pStyle w:val="Compact"/>
              <w:jc w:val="left"/>
            </w:pPr>
            <w:r>
              <w:t xml:space="preserve">Review Period</w:t>
            </w:r>
          </w:p>
        </w:tc>
        <w:tc>
          <w:tcPr/>
          <w:p>
            <w:pPr>
              <w:pStyle w:val="Compact"/>
              <w:jc w:val="left"/>
            </w:pPr>
            <w:r>
              <w:t xml:space="preserve">[Insert Start Date] to [Insert End Date]</w:t>
            </w:r>
          </w:p>
        </w:tc>
      </w:tr>
      <w:tr>
        <w:tc>
          <w:tcPr/>
          <w:p>
            <w:pPr>
              <w:pStyle w:val="Compact"/>
              <w:jc w:val="left"/>
            </w:pPr>
            <w:r>
              <w:t xml:space="preserve">Review Panel Lead</w:t>
            </w:r>
          </w:p>
        </w:tc>
        <w:tc>
          <w:tcPr/>
          <w:p>
            <w:pPr>
              <w:pStyle w:val="Compact"/>
              <w:jc w:val="left"/>
            </w:pPr>
            <w:r>
              <w:t xml:space="preserve">[Insert Reviewer Name], Senior Consultant</w:t>
            </w:r>
          </w:p>
        </w:tc>
      </w:tr>
    </w:tbl>
    <w:p>
      <w:pPr>
        <w:pStyle w:val="BodyText"/>
      </w:pPr>
      <w:r>
        <w:t xml:space="preserve">3. Clinical Competence and Diagnostic Accuracy</w:t>
      </w:r>
    </w:p>
    <w:p>
      <w:pPr>
        <w:pStyle w:val="BodyText"/>
      </w:pPr>
      <w:r>
        <w:t xml:space="preserve">The review panel assessed a random sample of 50 patient files managed by the Doctor General Practitioner. The evaluation focused on the accuracy of diagnosis, appropriateness of treatment plans, and adherence to clinical guidelines relevant to the Riyadh region.</w:t>
      </w:r>
    </w:p>
    <w:p>
      <w:pPr>
        <w:pStyle w:val="BodyText"/>
      </w:pPr>
      <w:r>
        <w:rPr>
          <w:bCs/>
          <w:b/>
        </w:rPr>
        <w:t xml:space="preserve">Findings:</w:t>
      </w:r>
      <w:r>
        <w:t xml:space="preserve"> </w:t>
      </w:r>
      <w:r>
        <w:t xml:space="preserve">The physician demonstrated a solid understanding of general pathology and acute care management. There was a high level of compliance with the Saudi Ministry of Health guidelines regarding the management of common conditions such as hypertension, type 2 diabetes, and respiratory infections. The physician correctly identified red flags in acute presentations and referred complex cases to specialists in a timely manner, ensuring patient safety.</w:t>
      </w:r>
    </w:p>
    <w:p>
      <w:pPr>
        <w:pStyle w:val="BodyText"/>
      </w:pPr>
      <w:r>
        <w:t xml:space="preserve">However, the review noted a need for enhanced documentation regarding the rationale for antibiotic prescriptions. Given the national initiatives in Saudi Arabia to combat antimicrobial resistance, the Doctor General Practitioner must ensure that antibiotic stewardship is strictly followed, documenting clinical justification for every prescription issued.</w:t>
      </w:r>
    </w:p>
    <w:p>
      <w:pPr>
        <w:pStyle w:val="BodyText"/>
      </w:pPr>
      <w:r>
        <w:t xml:space="preserve">4. Patient Safety and Quality of Care</w:t>
      </w:r>
    </w:p>
    <w:p>
      <w:pPr>
        <w:pStyle w:val="BodyText"/>
      </w:pPr>
      <w:r>
        <w:t xml:space="preserve">Patient safety is a cornerstone of healthcare delivery in Riyadh. This section evaluates the physician's adherence to safety protocols, including infection control, medication reconciliation, and informed consent.</w:t>
      </w:r>
    </w:p>
    <w:p>
      <w:pPr>
        <w:pStyle w:val="BodyText"/>
      </w:pPr>
      <w:r>
        <w:rPr>
          <w:bCs/>
          <w:b/>
        </w:rPr>
        <w:t xml:space="preserve">Findings:</w:t>
      </w:r>
      <w:r>
        <w:t xml:space="preserve"> </w:t>
      </w:r>
      <w:r>
        <w:t xml:space="preserve">The Doctor General Practitioner adhered to standard infection prevention and control (IPC) measures during consultations. The review found no instances of medication errors or adverse drug events attributable to negligence. The physician effectively utilized the electronic health record (EHR) systems standard in Riyadh facilities to track patient history and allergies.</w:t>
      </w:r>
    </w:p>
    <w:p>
      <w:pPr>
        <w:pStyle w:val="BodyText"/>
      </w:pPr>
      <w:r>
        <w:t xml:space="preserve">A minor area for improvement was identified in the management of chronic disease follow-ups. While acute care was handled excellently, the systematic tracking of long-term patient outcomes for chronic conditions could be strengthened to align with the preventive care goals of the Saudi healthcare system.</w:t>
      </w:r>
    </w:p>
    <w:p>
      <w:pPr>
        <w:pStyle w:val="BodyText"/>
      </w:pPr>
      <w:r>
        <w:t xml:space="preserve">5. Professionalism and Cultural Competence</w:t>
      </w:r>
    </w:p>
    <w:p>
      <w:pPr>
        <w:pStyle w:val="BodyText"/>
      </w:pPr>
      <w:r>
        <w:t xml:space="preserve">Practicing as a Doctor General Practitioner in Saudi Arabia Riyadh requires a high degree of cultural intelligence. The review assessed the physician's interaction with patients from diverse backgrounds, including Saudi nationals and expatriates, ensuring respect for local customs, religious values, and gender segregation norms where applicable.</w:t>
      </w:r>
    </w:p>
    <w:p>
      <w:pPr>
        <w:pStyle w:val="BodyText"/>
      </w:pPr>
      <w:r>
        <w:rPr>
          <w:bCs/>
          <w:b/>
        </w:rPr>
        <w:t xml:space="preserve">Findings:</w:t>
      </w:r>
      <w:r>
        <w:t xml:space="preserve"> </w:t>
      </w:r>
      <w:r>
        <w:t xml:space="preserve">The physician displayed excellent bedside manner and professional etiquette. Feedback from patient satisfaction surveys indicated high levels of trust and comfort. The Doctor General Practitioner demonstrated appropriate sensitivity regarding cultural and religious considerations, which is essential for building rapport in the Riyadh community. Communication was clear, and the physician made a concerted effort to ensure patients understood their treatment plans, utilizing interpreters when necessary for non-Arabic speaking patients.</w:t>
      </w:r>
    </w:p>
    <w:p>
      <w:pPr>
        <w:pStyle w:val="BodyText"/>
      </w:pPr>
      <w:r>
        <w:t xml:space="preserve">6. Regulatory Compliance and Documentation</w:t>
      </w:r>
    </w:p>
    <w:p>
      <w:pPr>
        <w:pStyle w:val="BodyText"/>
      </w:pPr>
      <w:r>
        <w:t xml:space="preserve">Compliance with SCFHS regulations is mandatory for all practicing physicians. This review examined the completeness and accuracy of medical records, ensuring they met the legal and administrative requirements of the Kingdom.</w:t>
      </w:r>
    </w:p>
    <w:p>
      <w:pPr>
        <w:pStyle w:val="BodyText"/>
      </w:pPr>
      <w:r>
        <w:rPr>
          <w:bCs/>
          <w:b/>
        </w:rPr>
        <w:t xml:space="preserve">Findings:</w:t>
      </w:r>
      <w:r>
        <w:t xml:space="preserve"> </w:t>
      </w:r>
      <w:r>
        <w:t xml:space="preserve">Medical records were generally well-maintained. However, the review identified occasional delays in finalizing notes after patient encounters. To maintain full compliance with Saudi data privacy laws and MOH standards, the Doctor General Practitioner must ensure that all clinical notes are completed within 24 hours of the consultation. Additionally, consent forms for specific procedures were found to be correctly signed and dated in all reviewed instances.</w:t>
      </w:r>
    </w:p>
    <w:p>
      <w:pPr>
        <w:pStyle w:val="BodyText"/>
      </w:pPr>
      <w:r>
        <w:t xml:space="preserve">7. Recommendations and Action Plan</w:t>
      </w:r>
    </w:p>
    <w:p>
      <w:pPr>
        <w:pStyle w:val="BodyText"/>
      </w:pPr>
      <w:r>
        <w:t xml:space="preserve">Based on the comprehensive evaluation, the following recommendations are made for the Doctor General Practitioner:</w:t>
      </w:r>
    </w:p>
    <w:p>
      <w:pPr>
        <w:numPr>
          <w:ilvl w:val="0"/>
          <w:numId w:val="1001"/>
        </w:numPr>
        <w:pStyle w:val="Compact"/>
      </w:pPr>
      <w:r>
        <w:rPr>
          <w:bCs/>
          <w:b/>
        </w:rPr>
        <w:t xml:space="preserve">Antibiotic Stewardship:</w:t>
      </w:r>
      <w:r>
        <w:t xml:space="preserve"> </w:t>
      </w:r>
      <w:r>
        <w:t xml:space="preserve">Enroll in a continuing professional development (CPD) module focused on antimicrobial resistance and antibiotic guidelines specific to Saudi Arabia.</w:t>
      </w:r>
    </w:p>
    <w:p>
      <w:pPr>
        <w:numPr>
          <w:ilvl w:val="0"/>
          <w:numId w:val="1001"/>
        </w:numPr>
        <w:pStyle w:val="Compact"/>
      </w:pPr>
      <w:r>
        <w:rPr>
          <w:bCs/>
          <w:b/>
        </w:rPr>
        <w:t xml:space="preserve">Documentation Efficiency:</w:t>
      </w:r>
      <w:r>
        <w:t xml:space="preserve"> </w:t>
      </w:r>
      <w:r>
        <w:t xml:space="preserve">Implement a workflow to ensure all EHR notes are finalized within the same day of patient interaction to meet regulatory standards.</w:t>
      </w:r>
    </w:p>
    <w:p>
      <w:pPr>
        <w:numPr>
          <w:ilvl w:val="0"/>
          <w:numId w:val="1001"/>
        </w:numPr>
        <w:pStyle w:val="Compact"/>
      </w:pPr>
      <w:r>
        <w:rPr>
          <w:bCs/>
          <w:b/>
        </w:rPr>
        <w:t xml:space="preserve">Chronic Disease Management:</w:t>
      </w:r>
      <w:r>
        <w:t xml:space="preserve"> </w:t>
      </w:r>
      <w:r>
        <w:t xml:space="preserve">Adopt a structured follow-up protocol for patients with diabetes and hypertension to improve long-term health outcomes and align with Vision 2030 health goals.</w:t>
      </w:r>
    </w:p>
    <w:p>
      <w:pPr>
        <w:pStyle w:val="FirstParagraph"/>
      </w:pPr>
      <w:r>
        <w:t xml:space="preserve">8. Conclusion</w:t>
      </w:r>
    </w:p>
    <w:p>
      <w:pPr>
        <w:pStyle w:val="BodyText"/>
      </w:pPr>
      <w:r>
        <w:t xml:space="preserve">In conclusion, the Doctor General Practitioner under review has demonstrated a high level of clinical competence and professionalism suitable for practice in Riyadh, Saudi Arabia. The physician is committed to patient safety and cultural respect. By addressing the minor areas of improvement regarding documentation and antibiotic stewardship, the physician will further enhance their practice and contribute positively to the healthcare standards of the Kingdom.</w:t>
      </w:r>
    </w:p>
    <w:p>
      <w:pPr>
        <w:pStyle w:val="BodyText"/>
      </w:pPr>
      <w:r>
        <w:rPr>
          <w:bCs/>
          <w:b/>
        </w:rPr>
        <w:t xml:space="preserve">Overall Rating:</w:t>
      </w:r>
      <w:r>
        <w:t xml:space="preserve"> </w:t>
      </w:r>
      <w:r>
        <w:t xml:space="preserve">Satisfactory with Recommendations.</w:t>
      </w:r>
    </w:p>
    <w:p>
      <w:pPr>
        <w:pStyle w:val="BodyText"/>
      </w:pPr>
      <w:r>
        <w:rPr>
          <w:bCs/>
          <w:b/>
        </w:rPr>
        <w:t xml:space="preserve">Lead Reviewer Signature</w:t>
      </w:r>
      <w:r>
        <w:br/>
      </w:r>
      <w:r>
        <w:t xml:space="preserve">Name: [Insert Name]</w:t>
      </w:r>
      <w:r>
        <w:br/>
      </w:r>
      <w:r>
        <w:t xml:space="preserve">Title: Senior Medical Consultant</w:t>
      </w:r>
      <w:r>
        <w:br/>
      </w:r>
      <w:r>
        <w:t xml:space="preserve">Date: [Insert Date]</w:t>
      </w:r>
    </w:p>
    <w:p>
      <w:pPr>
        <w:pStyle w:val="BodyText"/>
      </w:pPr>
      <w:r>
        <w:rPr>
          <w:bCs/>
          <w:b/>
        </w:rPr>
        <w:t xml:space="preserve">Physician Acknowledgment</w:t>
      </w:r>
      <w:r>
        <w:br/>
      </w:r>
      <w:r>
        <w:t xml:space="preserve">Name: [Insert Physician Name]</w:t>
      </w:r>
      <w:r>
        <w:br/>
      </w:r>
      <w:r>
        <w:t xml:space="preserve">Title: General Practitioner</w:t>
      </w:r>
      <w:r>
        <w:br/>
      </w:r>
      <w:r>
        <w:t xml:space="preserve">Date: [Insert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General Practitioner</dc:title>
  <dc:creator/>
  <dc:language>en</dc:language>
  <cp:keywords/>
  <dcterms:created xsi:type="dcterms:W3CDTF">2026-10-10T04:25:50Z</dcterms:created>
  <dcterms:modified xsi:type="dcterms:W3CDTF">2026-10-10T04:25:50Z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