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Manchester, United Kingdom</w:t>
      </w:r>
    </w:p>
    <w:p>
      <w:pPr>
        <w:pStyle w:val="BodyText"/>
      </w:pPr>
      <w:r>
        <w:rPr>
          <w:bCs/>
          <w:b/>
        </w:rPr>
        <w:t xml:space="preserve">Date of Report:</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General Medical Council (GMC) and the relevant guidelines for General Practitioners (GPs) practicing in the United Kingdom. The purpose of this report is to evaluate the professional performance, clinical competence, and overall practice of the Doctor General Practitioner under review. This assessment is conducted within the context of the healthcare system in Manchester, United Kingdom, where high standards of patient care, safety, and professionalism are paramount.</w:t>
      </w:r>
    </w:p>
    <w:p>
      <w:pPr>
        <w:pStyle w:val="BodyText"/>
      </w:pPr>
      <w:r>
        <w:t xml:space="preserve">The review process involves a comprehensive evaluation of the GP’s clinical skills, communication abilities, adherence to evidence-based practices, and contribution to the multidisciplinary team. It also considers the GP’s engagement with continuous professional development (CPD), leadership qualities, and commitment to improving patient outcomes.</w:t>
      </w:r>
    </w:p>
    <w:bookmarkEnd w:id="21"/>
    <w:bookmarkStart w:id="22" w:name="doctor-general-practitioner-details"/>
    <w:p>
      <w:pPr>
        <w:pStyle w:val="Heading2"/>
      </w:pPr>
      <w:r>
        <w:t xml:space="preserve">2. Doctor General Practitioner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[Insert Name]</w:t>
            </w:r>
          </w:p>
        </w:tc>
      </w:tr>
      <w:tr>
        <w:tc>
          <w:tcPr/>
          <w:p>
            <w:pPr>
              <w:pStyle w:val="Compact"/>
              <w:jc w:val="left"/>
            </w:pPr>
            <w:r>
              <w:t xml:space="preserve">GMC Number:</w:t>
            </w:r>
          </w:p>
        </w:tc>
        <w:tc>
          <w:tcPr/>
          <w:p>
            <w:pPr>
              <w:pStyle w:val="Compact"/>
              <w:jc w:val="left"/>
            </w:pPr>
            <w:r>
              <w:t xml:space="preserve">[Insert GMC Number]</w:t>
            </w:r>
          </w:p>
        </w:tc>
      </w:tr>
      <w:tr>
        <w:tc>
          <w:tcPr/>
          <w:p>
            <w:pPr>
              <w:pStyle w:val="Compact"/>
              <w:jc w:val="left"/>
            </w:pPr>
            <w:r>
              <w:t xml:space="preserve">Practice Location:</w:t>
            </w:r>
          </w:p>
        </w:tc>
        <w:tc>
          <w:tcPr/>
          <w:p>
            <w:pPr>
              <w:pStyle w:val="Compact"/>
              <w:jc w:val="left"/>
            </w:pPr>
            <w:r>
              <w:t xml:space="preserve">[Insert Practice Name], Manchester, United Kingdom</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Special Interests:</w:t>
            </w:r>
          </w:p>
        </w:tc>
        <w:tc>
          <w:tcPr/>
          <w:p>
            <w:pPr>
              <w:pStyle w:val="Compact"/>
              <w:jc w:val="left"/>
            </w:pPr>
            <w:r>
              <w:t xml:space="preserve">[Insert Special Interests]</w:t>
            </w:r>
          </w:p>
        </w:tc>
      </w:tr>
    </w:tbl>
    <w:bookmarkEnd w:id="22"/>
    <w:bookmarkStart w:id="23" w:name="clinical-competence"/>
    <w:p>
      <w:pPr>
        <w:pStyle w:val="Heading2"/>
      </w:pPr>
      <w:r>
        <w:t xml:space="preserve">3. Clinical Competence</w:t>
      </w:r>
    </w:p>
    <w:p>
      <w:pPr>
        <w:pStyle w:val="FirstParagraph"/>
      </w:pPr>
      <w:r>
        <w:t xml:space="preserve">The Doctor General Practitioner demonstrates a strong foundation in clinical knowledge and skills, consistent with the expectations of a GP practicing in Manchester, United Kingdom. Their ability to diagnose and manage a wide range of acute and chronic conditions is commendable. The GP shows proficiency in interpreting diagnostic tests, prescribing medications appropriately, and providing effective treatment plans tailored to individual patient needs.</w:t>
      </w:r>
    </w:p>
    <w:p>
      <w:pPr>
        <w:pStyle w:val="BodyText"/>
      </w:pPr>
      <w:r>
        <w:t xml:space="preserve">Particular strengths include:</w:t>
      </w:r>
    </w:p>
    <w:p>
      <w:pPr>
        <w:numPr>
          <w:ilvl w:val="0"/>
          <w:numId w:val="1001"/>
        </w:numPr>
        <w:pStyle w:val="Compact"/>
      </w:pPr>
      <w:r>
        <w:t xml:space="preserve">Effective management of long-term conditions such as diabetes, hypertension, and asthma.</w:t>
      </w:r>
    </w:p>
    <w:p>
      <w:pPr>
        <w:numPr>
          <w:ilvl w:val="0"/>
          <w:numId w:val="1001"/>
        </w:numPr>
        <w:pStyle w:val="Compact"/>
      </w:pPr>
      <w:r>
        <w:t xml:space="preserve">Timely identification and referral of patients requiring specialist care.</w:t>
      </w:r>
    </w:p>
    <w:p>
      <w:pPr>
        <w:numPr>
          <w:ilvl w:val="0"/>
          <w:numId w:val="1001"/>
        </w:numPr>
        <w:pStyle w:val="Compact"/>
      </w:pPr>
      <w:r>
        <w:t xml:space="preserve">Adherence to national guidelines, including those issued by NICE (National Institute for Health and Care Excellence).</w:t>
      </w:r>
    </w:p>
    <w:p>
      <w:pPr>
        <w:pStyle w:val="FirstParagraph"/>
      </w:pPr>
      <w:r>
        <w:t xml:space="preserve">Areas for improvement:</w:t>
      </w:r>
    </w:p>
    <w:p>
      <w:pPr>
        <w:numPr>
          <w:ilvl w:val="0"/>
          <w:numId w:val="1002"/>
        </w:numPr>
        <w:pStyle w:val="Compact"/>
      </w:pPr>
      <w:r>
        <w:t xml:space="preserve">Enhancing documentation practices to ensure clarity and completeness in patient records.</w:t>
      </w:r>
    </w:p>
    <w:p>
      <w:pPr>
        <w:numPr>
          <w:ilvl w:val="0"/>
          <w:numId w:val="1002"/>
        </w:numPr>
        <w:pStyle w:val="Compact"/>
      </w:pPr>
      <w:r>
        <w:t xml:space="preserve">Increasing engagement with emerging research and innovations in primary care.</w:t>
      </w:r>
    </w:p>
    <w:bookmarkEnd w:id="23"/>
    <w:bookmarkStart w:id="24" w:name="communication-skills"/>
    <w:p>
      <w:pPr>
        <w:pStyle w:val="Heading2"/>
      </w:pPr>
      <w:r>
        <w:t xml:space="preserve">4. Communication Skills</w:t>
      </w:r>
    </w:p>
    <w:p>
      <w:pPr>
        <w:pStyle w:val="FirstParagraph"/>
      </w:pPr>
      <w:r>
        <w:t xml:space="preserve">Communication is a cornerstone of effective general practice, and the Doctor General Practitioner under review exhibits strong interpersonal skills. They are able to build rapport with patients from diverse backgrounds, which is particularly important in a multicultural city like Manchester, United Kingdom. The GP listens attentively, explains medical information clearly, and involves patients in shared decision-making processes.</w:t>
      </w:r>
    </w:p>
    <w:p>
      <w:pPr>
        <w:pStyle w:val="BodyText"/>
      </w:pPr>
      <w:r>
        <w:t xml:space="preserve">Feedback from patients and colleagues highlights the following strengths:</w:t>
      </w:r>
    </w:p>
    <w:p>
      <w:pPr>
        <w:numPr>
          <w:ilvl w:val="0"/>
          <w:numId w:val="1003"/>
        </w:numPr>
        <w:pStyle w:val="Compact"/>
      </w:pPr>
      <w:r>
        <w:t xml:space="preserve">Empathy and compassion when dealing with vulnerable or distressed patients.</w:t>
      </w:r>
    </w:p>
    <w:p>
      <w:pPr>
        <w:numPr>
          <w:ilvl w:val="0"/>
          <w:numId w:val="1003"/>
        </w:numPr>
        <w:pStyle w:val="Compact"/>
      </w:pPr>
      <w:r>
        <w:t xml:space="preserve">Ability to communicate complex medical concepts in an accessible manner.</w:t>
      </w:r>
    </w:p>
    <w:p>
      <w:pPr>
        <w:numPr>
          <w:ilvl w:val="0"/>
          <w:numId w:val="1003"/>
        </w:numPr>
        <w:pStyle w:val="Compact"/>
      </w:pPr>
      <w:r>
        <w:t xml:space="preserve">Collaborative approach when working with other healthcare professionals.</w:t>
      </w:r>
    </w:p>
    <w:p>
      <w:pPr>
        <w:pStyle w:val="FirstParagraph"/>
      </w:pPr>
      <w:r>
        <w:t xml:space="preserve">Recommendations for development:</w:t>
      </w:r>
    </w:p>
    <w:p>
      <w:pPr>
        <w:numPr>
          <w:ilvl w:val="0"/>
          <w:numId w:val="1004"/>
        </w:numPr>
        <w:pStyle w:val="Compact"/>
      </w:pPr>
      <w:r>
        <w:t xml:space="preserve">Further training in motivational interviewing techniques to support behavior change in patients.</w:t>
      </w:r>
    </w:p>
    <w:p>
      <w:pPr>
        <w:numPr>
          <w:ilvl w:val="0"/>
          <w:numId w:val="1004"/>
        </w:numPr>
        <w:pStyle w:val="Compact"/>
      </w:pPr>
      <w:r>
        <w:t xml:space="preserve">Exploring strategies to improve communication during high-pressure situations.</w:t>
      </w:r>
    </w:p>
    <w:bookmarkEnd w:id="24"/>
    <w:bookmarkStart w:id="25" w:name="professionalism-and-ethics"/>
    <w:p>
      <w:pPr>
        <w:pStyle w:val="Heading2"/>
      </w:pPr>
      <w:r>
        <w:t xml:space="preserve">5. Professionalism and Ethics</w:t>
      </w:r>
    </w:p>
    <w:p>
      <w:pPr>
        <w:pStyle w:val="FirstParagraph"/>
      </w:pPr>
      <w:r>
        <w:t xml:space="preserve">The Doctor General Practitioner upholds the highest standards of professionalism and ethical conduct, aligning with the GMC’s Good Medical Practice framework. They demonstrate integrity, honesty, and respect for patient confidentiality. The GP actively contributes to maintaining a safe and supportive environment for both patients and staff within their practice in Manchester, United Kingdom.</w:t>
      </w:r>
    </w:p>
    <w:p>
      <w:pPr>
        <w:pStyle w:val="BodyText"/>
      </w:pPr>
      <w:r>
        <w:t xml:space="preserve">Key observations include:</w:t>
      </w:r>
    </w:p>
    <w:p>
      <w:pPr>
        <w:numPr>
          <w:ilvl w:val="0"/>
          <w:numId w:val="1005"/>
        </w:numPr>
        <w:pStyle w:val="Compact"/>
      </w:pPr>
      <w:r>
        <w:t xml:space="preserve">Consistent adherence to safeguarding protocols for children and adults at risk.</w:t>
      </w:r>
    </w:p>
    <w:p>
      <w:pPr>
        <w:numPr>
          <w:ilvl w:val="0"/>
          <w:numId w:val="1005"/>
        </w:numPr>
        <w:pStyle w:val="Compact"/>
      </w:pPr>
      <w:r>
        <w:t xml:space="preserve">Proactive involvement in addressing health inequalities within the local community.</w:t>
      </w:r>
    </w:p>
    <w:p>
      <w:pPr>
        <w:numPr>
          <w:ilvl w:val="0"/>
          <w:numId w:val="1005"/>
        </w:numPr>
        <w:pStyle w:val="Compact"/>
      </w:pPr>
      <w:r>
        <w:t xml:space="preserve">Willingness to seek feedback and reflect on their own practice.</w:t>
      </w:r>
    </w:p>
    <w:p>
      <w:pPr>
        <w:pStyle w:val="FirstParagraph"/>
      </w:pPr>
      <w:r>
        <w:t xml:space="preserve">Opportunities for growth:</w:t>
      </w:r>
    </w:p>
    <w:p>
      <w:pPr>
        <w:numPr>
          <w:ilvl w:val="0"/>
          <w:numId w:val="1006"/>
        </w:numPr>
        <w:pStyle w:val="Compact"/>
      </w:pPr>
      <w:r>
        <w:t xml:space="preserve">Engaging more deeply with initiatives aimed at promoting diversity and inclusion in healthcare.</w:t>
      </w:r>
    </w:p>
    <w:p>
      <w:pPr>
        <w:numPr>
          <w:ilvl w:val="0"/>
          <w:numId w:val="1006"/>
        </w:numPr>
        <w:pStyle w:val="Compact"/>
      </w:pPr>
      <w:r>
        <w:t xml:space="preserve">Taking on a leadership role in quality improvement projects within the practice.</w:t>
      </w:r>
    </w:p>
    <w:bookmarkEnd w:id="25"/>
    <w:bookmarkStart w:id="26" w:name="continuous-professional-development-cpd"/>
    <w:p>
      <w:pPr>
        <w:pStyle w:val="Heading2"/>
      </w:pPr>
      <w:r>
        <w:t xml:space="preserve">6. Continuous Professional Development (CPD)</w:t>
      </w:r>
    </w:p>
    <w:p>
      <w:pPr>
        <w:pStyle w:val="FirstParagraph"/>
      </w:pPr>
      <w:r>
        <w:t xml:space="preserve">The Doctor General Practitioner has shown a commitment to lifelong learning and professional growth. Over the review period, they have participated in various CPD activities, including workshops, conferences, and online courses relevant to general practice in the United Kingdom. These efforts have contributed to their ability to deliver up-to-date and evidence-based care.</w:t>
      </w:r>
    </w:p>
    <w:p>
      <w:pPr>
        <w:pStyle w:val="BodyText"/>
      </w:pPr>
      <w:r>
        <w:t xml:space="preserve">Notable achievements:</w:t>
      </w:r>
    </w:p>
    <w:p>
      <w:pPr>
        <w:numPr>
          <w:ilvl w:val="0"/>
          <w:numId w:val="1007"/>
        </w:numPr>
        <w:pStyle w:val="Compact"/>
      </w:pPr>
      <w:r>
        <w:t xml:space="preserve">Completion of advanced training in mental health first aid.</w:t>
      </w:r>
    </w:p>
    <w:p>
      <w:pPr>
        <w:numPr>
          <w:ilvl w:val="0"/>
          <w:numId w:val="1007"/>
        </w:numPr>
        <w:pStyle w:val="Compact"/>
      </w:pPr>
      <w:r>
        <w:t xml:space="preserve">Active participation in local audit cycles focused on improving patient outcomes.</w:t>
      </w:r>
    </w:p>
    <w:p>
      <w:pPr>
        <w:pStyle w:val="FirstParagraph"/>
      </w:pPr>
      <w:r>
        <w:t xml:space="preserve">Suggestions for future development:</w:t>
      </w:r>
    </w:p>
    <w:p>
      <w:pPr>
        <w:numPr>
          <w:ilvl w:val="0"/>
          <w:numId w:val="1008"/>
        </w:numPr>
        <w:pStyle w:val="Compact"/>
      </w:pPr>
      <w:r>
        <w:t xml:space="preserve">Pursuing additional qualifications in areas of personal interest, such as palliative care or geriatrics.</w:t>
      </w:r>
    </w:p>
    <w:p>
      <w:pPr>
        <w:numPr>
          <w:ilvl w:val="0"/>
          <w:numId w:val="1008"/>
        </w:numPr>
        <w:pStyle w:val="Compact"/>
      </w:pPr>
      <w:r>
        <w:t xml:space="preserve">Mentoring junior doctors or medical students to foster the next generation of GPs.</w:t>
      </w:r>
    </w:p>
    <w:bookmarkEnd w:id="26"/>
    <w:bookmarkStart w:id="27" w:name="conclusion"/>
    <w:p>
      <w:pPr>
        <w:pStyle w:val="Heading2"/>
      </w:pPr>
      <w:r>
        <w:t xml:space="preserve">7. Conclusion</w:t>
      </w:r>
    </w:p>
    <w:p>
      <w:pPr>
        <w:pStyle w:val="FirstParagraph"/>
      </w:pPr>
      <w:r>
        <w:t xml:space="preserve">In conclusion, the Doctor General Practitioner under review has demonstrated a high level of clinical competence, professionalism, and dedication to patient care. Their contributions to the healthcare system in Manchester, United Kingdom, are valuable and align with the expectations of a modern GP. While there are areas for improvement, these have been identified constructively to support ongoing professional development.</w:t>
      </w:r>
    </w:p>
    <w:p>
      <w:pPr>
        <w:pStyle w:val="BodyText"/>
      </w:pPr>
      <w:r>
        <w:t xml:space="preserve">This Peer Review Report serves as a tool for reflection and growth, ensuring that the GP continues to meet the rigorous standards required by the GMC and the broader healthcare community. Regular reviews and open dialogue will further enhance their practice and benefit the patients they serve.</w:t>
      </w:r>
    </w:p>
    <w:bookmarkEnd w:id="27"/>
    <w:p>
      <w:pPr>
        <w:pStyle w:val="BodyText"/>
      </w:pPr>
      <w:r>
        <w:rPr>
          <w:bCs/>
          <w:b/>
        </w:rPr>
        <w:t xml:space="preserve">Reviewed by:</w:t>
      </w:r>
      <w:r>
        <w:t xml:space="preserve"> </w:t>
      </w:r>
      <w:r>
        <w:t xml:space="preserve">[Insert Reviewer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Manchester, United Kingdom</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