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York</w:t>
      </w:r>
      <w:r>
        <w:t xml:space="preserve"> </w:t>
      </w:r>
      <w:r>
        <w:t xml:space="preserve">City</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Evaluation of Clinical Practice and Professional Conduct</w:t>
      </w:r>
    </w:p>
    <w:p>
      <w:pPr>
        <w:pStyle w:val="BodyText"/>
      </w:pPr>
      <w:r>
        <w:rPr>
          <w:bCs/>
          <w:b/>
        </w:rPr>
        <w:t xml:space="preserve">Specialty:</w:t>
      </w:r>
      <w:r>
        <w:t xml:space="preserve"> </w:t>
      </w:r>
      <w:r>
        <w:t xml:space="preserve">Doctor General Practitioner (Family Medicine/Internal Medicine)</w:t>
      </w:r>
    </w:p>
    <w:p>
      <w:pPr>
        <w:pStyle w:val="BodyText"/>
      </w:pPr>
      <w:r>
        <w:rPr>
          <w:bCs/>
          <w:b/>
        </w:rPr>
        <w:t xml:space="preserve">Jurisdiction:</w:t>
      </w:r>
      <w:r>
        <w:t xml:space="preserve"> </w:t>
      </w:r>
      <w:r>
        <w:t xml:space="preserve">United States, New York City (NYC)</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NYC Metropolitan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convened to assess the clinical performance, adherence to medical standards, and professional conduct of a Doctor General Practitioner practicing within the United States, specifically within the jurisdiction of New York City. The review was initiated following a routine quality assurance audit mandated by the New York State Department of Health and local hospital bylaws. The primary objective is to ensure that the physician maintains the high standards of care expected in one of the most densely populated and medically complex urban environments in the nation.</w:t>
      </w:r>
    </w:p>
    <w:p>
      <w:pPr>
        <w:pStyle w:val="BodyText"/>
      </w:pPr>
      <w:r>
        <w:t xml:space="preserve">The evaluation encompasses a comprehensive analysis of patient records, adherence to New York State medical regulations, compliance with NYC-specific public health directives, and feedback from interdisciplinary colleagues. The findings presented herein are intended to facilitate continuous quality improvement, patient safety, and regulatory compliance.</w:t>
      </w:r>
    </w:p>
    <w:bookmarkEnd w:id="21"/>
    <w:bookmarkStart w:id="22" w:name="physician-and-practice-profile"/>
    <w:p>
      <w:pPr>
        <w:pStyle w:val="Heading2"/>
      </w:pPr>
      <w:r>
        <w:t xml:space="preserve">2. Physician and Practice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Physician Name</w:t>
            </w:r>
          </w:p>
        </w:tc>
        <w:tc>
          <w:tcPr/>
          <w:p>
            <w:pPr>
              <w:pStyle w:val="Compact"/>
              <w:jc w:val="left"/>
            </w:pPr>
            <w:r>
              <w:t xml:space="preserve">[Redacted for Confidentiality]</w:t>
            </w:r>
          </w:p>
        </w:tc>
      </w:tr>
      <w:tr>
        <w:tc>
          <w:tcPr/>
          <w:p>
            <w:pPr>
              <w:pStyle w:val="Compact"/>
              <w:jc w:val="left"/>
            </w:pPr>
            <w:r>
              <w:t xml:space="preserve">License Number</w:t>
            </w:r>
          </w:p>
        </w:tc>
        <w:tc>
          <w:tcPr/>
          <w:p>
            <w:pPr>
              <w:pStyle w:val="Compact"/>
              <w:jc w:val="left"/>
            </w:pPr>
            <w:r>
              <w:t xml:space="preserve">NY State Medical License #[Redacted]</w:t>
            </w:r>
          </w:p>
        </w:tc>
      </w:tr>
      <w:tr>
        <w:tc>
          <w:tcPr/>
          <w:p>
            <w:pPr>
              <w:pStyle w:val="Compact"/>
              <w:jc w:val="left"/>
            </w:pPr>
            <w:r>
              <w:t xml:space="preserve">Specialty</w:t>
            </w:r>
          </w:p>
        </w:tc>
        <w:tc>
          <w:tcPr/>
          <w:p>
            <w:pPr>
              <w:pStyle w:val="Compact"/>
              <w:jc w:val="left"/>
            </w:pPr>
            <w:r>
              <w:t xml:space="preserve">Doctor General Practitioner (Board Certified in Family Medicine)</w:t>
            </w:r>
          </w:p>
        </w:tc>
      </w:tr>
      <w:tr>
        <w:tc>
          <w:tcPr/>
          <w:p>
            <w:pPr>
              <w:pStyle w:val="Compact"/>
              <w:jc w:val="left"/>
            </w:pPr>
            <w:r>
              <w:t xml:space="preserve">Practice Location</w:t>
            </w:r>
          </w:p>
        </w:tc>
        <w:tc>
          <w:tcPr/>
          <w:p>
            <w:pPr>
              <w:pStyle w:val="Compact"/>
              <w:jc w:val="left"/>
            </w:pPr>
            <w:r>
              <w:t xml:space="preserve">Manhattan Community Health Center, New York City, NY</w:t>
            </w:r>
          </w:p>
        </w:tc>
      </w:tr>
      <w:tr>
        <w:tc>
          <w:tcPr/>
          <w:p>
            <w:pPr>
              <w:pStyle w:val="Compact"/>
              <w:jc w:val="left"/>
            </w:pPr>
            <w:r>
              <w:t xml:space="preserve">Years of Practice</w:t>
            </w:r>
          </w:p>
        </w:tc>
        <w:tc>
          <w:tcPr/>
          <w:p>
            <w:pPr>
              <w:pStyle w:val="Compact"/>
              <w:jc w:val="left"/>
            </w:pPr>
            <w:r>
              <w:t xml:space="preserve">12 Years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5" w:name="clinical-competence-and-quality-of-care"/>
    <w:p>
      <w:pPr>
        <w:pStyle w:val="Heading2"/>
      </w:pPr>
      <w:r>
        <w:t xml:space="preserve">3. Clinical Competence and Quality of Care</w:t>
      </w:r>
    </w:p>
    <w:bookmarkStart w:id="23" w:name="diagnostic-accuracy-and-treatment-plans"/>
    <w:p>
      <w:pPr>
        <w:pStyle w:val="Heading3"/>
      </w:pPr>
      <w:r>
        <w:t xml:space="preserve">3.1 Diagnostic Accuracy and Treatment Plans</w:t>
      </w:r>
    </w:p>
    <w:p>
      <w:pPr>
        <w:pStyle w:val="FirstParagraph"/>
      </w:pPr>
      <w:r>
        <w:t xml:space="preserve">The review panel examined a random sample of 150 patient charts managed by the Doctor General Practitioner. The analysis focused on the accuracy of diagnoses, appropriateness of treatment plans, and adherence to evidence-based guidelines. In the context of New York City, where patients often present with complex comorbidities due to socioeconomic factors and environmental stressors, the physician demonstrated a robust ability to manage chronic conditions such as hypertension, type 2 diabetes, and asthma.</w:t>
      </w:r>
    </w:p>
    <w:p>
      <w:pPr>
        <w:pStyle w:val="BodyText"/>
      </w:pPr>
      <w:r>
        <w:t xml:space="preserve">The physician consistently utilized the latest clinical practice guidelines issued by the American College of Physicians and the New York State Department of Health. Documentation of differential diagnoses was thorough, and treatment plans were tailored to the individual patient’s social determinants of health, a critical factor in NYC’s diverse population.</w:t>
      </w:r>
    </w:p>
    <w:bookmarkEnd w:id="23"/>
    <w:bookmarkStart w:id="24" w:name="medication-management"/>
    <w:p>
      <w:pPr>
        <w:pStyle w:val="Heading3"/>
      </w:pPr>
      <w:r>
        <w:t xml:space="preserve">3.2 Medication Management</w:t>
      </w:r>
    </w:p>
    <w:p>
      <w:pPr>
        <w:pStyle w:val="FirstParagraph"/>
      </w:pPr>
      <w:r>
        <w:t xml:space="preserve">Medication reconciliation was reviewed for accuracy and safety. The Doctor General Practitioner showed a high level of diligence in monitoring drug interactions, particularly in polypharmacy cases common among the elderly population in the boroughs. There were no instances of gross negligence or prescribing errors identified during this review period. The physician actively participated in the New York State Prescription Monitoring Program (PMP) to ensure responsible opioid prescribing, aligning with state mandates to combat the opioid crisis.</w:t>
      </w:r>
    </w:p>
    <w:bookmarkEnd w:id="24"/>
    <w:bookmarkEnd w:id="25"/>
    <w:bookmarkStart w:id="28" w:name="Xe75a8404bae02288cc89ca232929594ab69af88"/>
    <w:p>
      <w:pPr>
        <w:pStyle w:val="Heading2"/>
      </w:pPr>
      <w:r>
        <w:t xml:space="preserve">4. Compliance with New York State and NYC Regulations</w:t>
      </w:r>
    </w:p>
    <w:bookmarkStart w:id="26" w:name="legal-and-ethical-standards"/>
    <w:p>
      <w:pPr>
        <w:pStyle w:val="Heading3"/>
      </w:pPr>
      <w:r>
        <w:t xml:space="preserve">4.1 Legal and Ethical Standards</w:t>
      </w:r>
    </w:p>
    <w:p>
      <w:pPr>
        <w:pStyle w:val="FirstParagraph"/>
      </w:pPr>
      <w:r>
        <w:t xml:space="preserve">The physician’s practice was evaluated for compliance with the New York State Education Law and the Rules and Regulations of the Board of Regents. The review confirmed that the Doctor General Practitioner maintains a valid license and has completed all required Continuing Medical Education (CME) credits, including specific modules on medical ethics and cultural competency.</w:t>
      </w:r>
    </w:p>
    <w:p>
      <w:pPr>
        <w:pStyle w:val="BodyText"/>
      </w:pPr>
      <w:r>
        <w:t xml:space="preserve">Furthermore, the physician adhered to NYC Health Department regulations regarding infectious disease reporting. During the review period, all cases of reportable diseases were documented and reported within the statutory timeframes required by the city. This is particularly crucial in New York City, where rapid response to public health threats is essential.</w:t>
      </w:r>
    </w:p>
    <w:bookmarkEnd w:id="26"/>
    <w:bookmarkStart w:id="27" w:name="patient-privacy-and-hipaa"/>
    <w:p>
      <w:pPr>
        <w:pStyle w:val="Heading3"/>
      </w:pPr>
      <w:r>
        <w:t xml:space="preserve">4.2 Patient Privacy and HIPAA</w:t>
      </w:r>
    </w:p>
    <w:p>
      <w:pPr>
        <w:pStyle w:val="FirstParagraph"/>
      </w:pPr>
      <w:r>
        <w:t xml:space="preserve">An audit of electronic health record (EHR) access logs revealed no unauthorized access to patient information. The physician demonstrated strict adherence to the Health Insurance Portability and Accountability Act (HIPAA) and New York State’s SHIELD Act, ensuring that patient data is protected against breaches. Consent forms were properly obtained and documented for all procedures and treatments.</w:t>
      </w:r>
    </w:p>
    <w:bookmarkEnd w:id="27"/>
    <w:bookmarkEnd w:id="28"/>
    <w:bookmarkStart w:id="29" w:name="X4c8e0915f5d21f477c79b09bd7337b687bb7388"/>
    <w:p>
      <w:pPr>
        <w:pStyle w:val="Heading2"/>
      </w:pPr>
      <w:r>
        <w:t xml:space="preserve">5. Professional Conduct and Interdisciplinary Collaboration</w:t>
      </w:r>
    </w:p>
    <w:p>
      <w:pPr>
        <w:pStyle w:val="FirstParagraph"/>
      </w:pPr>
      <w:r>
        <w:t xml:space="preserve">The Doctor General Practitioner was assessed based on feedback from nurses, specialists, and administrative staff. The physician is regarded as a collaborative team member who communicates effectively with specialists at major NYC medical centers, such as Mount Sinai and NYU Langone, when referrals are necessary. This seamless coordination of care is vital for patients in New York City who may navigate multiple healthcare facilities.</w:t>
      </w:r>
    </w:p>
    <w:p>
      <w:pPr>
        <w:pStyle w:val="BodyText"/>
      </w:pPr>
      <w:r>
        <w:t xml:space="preserve">Patient satisfaction surveys indicated a high level of trust and respect for the physician. Patients praised the Doctor General Practitioner for their empathy, clear communication, and willingness to address health concerns in a culturally sensitive manner. This is particularly important in NYC, where the patient population is incredibly diverse in terms of language, culture, and socioeconomic status.</w:t>
      </w:r>
    </w:p>
    <w:bookmarkEnd w:id="29"/>
    <w:bookmarkStart w:id="30" w:name="areas-for-improvement"/>
    <w:p>
      <w:pPr>
        <w:pStyle w:val="Heading2"/>
      </w:pPr>
      <w:r>
        <w:t xml:space="preserve">6. Areas for Improvement</w:t>
      </w:r>
    </w:p>
    <w:p>
      <w:pPr>
        <w:pStyle w:val="FirstParagraph"/>
      </w:pPr>
      <w:r>
        <w:t xml:space="preserve">While the overall performance of the Doctor General Practitioner is commendable, the review panel identified a few areas for enhancement:</w:t>
      </w:r>
    </w:p>
    <w:p>
      <w:pPr>
        <w:numPr>
          <w:ilvl w:val="0"/>
          <w:numId w:val="1001"/>
        </w:numPr>
        <w:pStyle w:val="Compact"/>
      </w:pPr>
      <w:r>
        <w:rPr>
          <w:bCs/>
          <w:b/>
        </w:rPr>
        <w:t xml:space="preserve">Documentation Timeliness:</w:t>
      </w:r>
      <w:r>
        <w:t xml:space="preserve"> </w:t>
      </w:r>
      <w:r>
        <w:t xml:space="preserve">Some clinical notes were documented more than 48 hours after the patient encounter. While not a critical error, timely documentation is essential for continuity of care and legal protection.</w:t>
      </w:r>
    </w:p>
    <w:p>
      <w:pPr>
        <w:numPr>
          <w:ilvl w:val="0"/>
          <w:numId w:val="1001"/>
        </w:numPr>
        <w:pStyle w:val="Compact"/>
      </w:pPr>
      <w:r>
        <w:rPr>
          <w:bCs/>
          <w:b/>
        </w:rPr>
        <w:t xml:space="preserve">Preventive Care Screening:</w:t>
      </w:r>
      <w:r>
        <w:t xml:space="preserve"> </w:t>
      </w:r>
      <w:r>
        <w:t xml:space="preserve">There was a slight gap in the completion of recommended preventive screenings for certain patient demographics. The physician is encouraged to implement a more robust reminder system to ensure all patients receive age-appropriate screenings as per USPSTF guidelines.</w:t>
      </w:r>
    </w:p>
    <w:bookmarkEnd w:id="30"/>
    <w:bookmarkStart w:id="31" w:name="conclusion-and-recommendations"/>
    <w:p>
      <w:pPr>
        <w:pStyle w:val="Heading2"/>
      </w:pPr>
      <w:r>
        <w:t xml:space="preserve">7. Conclusion and Recommendations</w:t>
      </w:r>
    </w:p>
    <w:p>
      <w:pPr>
        <w:pStyle w:val="FirstParagraph"/>
      </w:pPr>
      <w:r>
        <w:t xml:space="preserve">Based on the comprehensive evaluation, the Peer Review Committee concludes that the Doctor General Practitioner is performing at a level that meets or exceeds the standards expected in the United States and specifically within New York City. The physician demonstrates clinical competence, ethical integrity, and a commitment to patient-centered care.</w:t>
      </w:r>
    </w:p>
    <w:p>
      <w:pPr>
        <w:pStyle w:val="BodyText"/>
      </w:pPr>
      <w:r>
        <w:rPr>
          <w:bCs/>
          <w:b/>
        </w:rPr>
        <w:t xml:space="preserve">Recommendations:</w:t>
      </w:r>
    </w:p>
    <w:p>
      <w:pPr>
        <w:numPr>
          <w:ilvl w:val="0"/>
          <w:numId w:val="1002"/>
        </w:numPr>
        <w:pStyle w:val="Compact"/>
      </w:pPr>
      <w:r>
        <w:t xml:space="preserve">Continue current practices in chronic disease management and medication safety.</w:t>
      </w:r>
    </w:p>
    <w:p>
      <w:pPr>
        <w:numPr>
          <w:ilvl w:val="0"/>
          <w:numId w:val="1002"/>
        </w:numPr>
        <w:pStyle w:val="Compact"/>
      </w:pPr>
      <w:r>
        <w:t xml:space="preserve">Implement strategies to improve documentation timeliness.</w:t>
      </w:r>
    </w:p>
    <w:p>
      <w:pPr>
        <w:numPr>
          <w:ilvl w:val="0"/>
          <w:numId w:val="1002"/>
        </w:numPr>
        <w:pStyle w:val="Compact"/>
      </w:pPr>
      <w:r>
        <w:t xml:space="preserve">Enhance preventive care screening protocols to ensure full compliance with national and state guidelines.</w:t>
      </w:r>
    </w:p>
    <w:p>
      <w:pPr>
        <w:numPr>
          <w:ilvl w:val="0"/>
          <w:numId w:val="1002"/>
        </w:numPr>
        <w:pStyle w:val="Compact"/>
      </w:pPr>
      <w:r>
        <w:t xml:space="preserve">Maintain active participation in NYC public health initiatives and reporting requirements.</w:t>
      </w:r>
    </w:p>
    <w:p>
      <w:pPr>
        <w:pStyle w:val="FirstParagraph"/>
      </w:pPr>
      <w:r>
        <w:t xml:space="preserve">This report is confidential and intended solely for the use of the reviewing body, the physician, and relevant regulatory authorities. It shall not be disclosed to third parties without proper authorization.</w:t>
      </w:r>
    </w:p>
    <w:bookmarkEnd w:id="31"/>
    <w:p>
      <w:pPr>
        <w:pStyle w:val="BodyText"/>
      </w:pPr>
      <w:r>
        <w:rPr>
          <w:bCs/>
          <w:b/>
        </w:rPr>
        <w:t xml:space="preserve">Prepared by:</w:t>
      </w:r>
    </w:p>
    <w:p>
      <w:pPr>
        <w:pStyle w:val="BodyText"/>
      </w:pPr>
      <w:r>
        <w:t xml:space="preserve">Dr. [Reviewer Name], MD</w:t>
      </w:r>
    </w:p>
    <w:p>
      <w:pPr>
        <w:pStyle w:val="BodyText"/>
      </w:pPr>
      <w:r>
        <w:t xml:space="preserve">Chair, Peer Review Committee</w:t>
      </w:r>
    </w:p>
    <w:p>
      <w:pPr>
        <w:pStyle w:val="BodyText"/>
      </w:pPr>
      <w:r>
        <w:t xml:space="preserve">NYC Metropolitan Medical Quality Assurance Committee</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New York City</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