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 and Regional Relevance)</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Frankfurt am Main, Germany</w:t>
      </w:r>
    </w:p>
    <w:p>
      <w:pPr>
        <w:pStyle w:val="BodyText"/>
      </w:pPr>
      <w:r>
        <w:rPr>
          <w:bCs/>
          <w:b/>
        </w:rPr>
        <w:t xml:space="preserve">Reviewer Panel:</w:t>
      </w:r>
      <w:r>
        <w:t xml:space="preserve"> </w:t>
      </w:r>
      <w:r>
        <w:t xml:space="preserve">International Business &amp; Finance Desk</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bCs/>
          <w:b/>
        </w:rPr>
        <w:t xml:space="preserve">The Economist</w:t>
      </w:r>
      <w:r>
        <w:t xml:space="preserve">, specifically analyzing its relevance, accuracy, and utility for professionals, policymakers, and academics based in</w:t>
      </w:r>
      <w:r>
        <w:t xml:space="preserve"> </w:t>
      </w:r>
      <w:r>
        <w:rPr>
          <w:bCs/>
          <w:b/>
        </w:rPr>
        <w:t xml:space="preserve">Germany Frankfurt</w:t>
      </w:r>
      <w:r>
        <w:t xml:space="preserve">. As the financial capital of Germany and a pivotal hub for the Eurozone, Frankfurt demands high-caliber economic intelligence. This review assesses whether</w:t>
      </w:r>
      <w:r>
        <w:t xml:space="preserve"> </w:t>
      </w:r>
      <w:r>
        <w:rPr>
          <w:bCs/>
          <w:b/>
        </w:rPr>
        <w:t xml:space="preserve">The Economist</w:t>
      </w:r>
      <w:r>
        <w:t xml:space="preserve"> </w:t>
      </w:r>
      <w:r>
        <w:t xml:space="preserve">meets the rigorous standards required by stakeholders in this specific geographic and economic context.</w:t>
      </w:r>
    </w:p>
    <w:p>
      <w:pPr>
        <w:pStyle w:val="BodyText"/>
      </w:pPr>
      <w:r>
        <w:t xml:space="preserve">The consensus of the review panel is that</w:t>
      </w:r>
      <w:r>
        <w:t xml:space="preserve"> </w:t>
      </w:r>
      <w:r>
        <w:rPr>
          <w:bCs/>
          <w:b/>
        </w:rPr>
        <w:t xml:space="preserve">The Economist</w:t>
      </w:r>
      <w:r>
        <w:t xml:space="preserve"> </w:t>
      </w:r>
      <w:r>
        <w:t xml:space="preserve">remains an indispensable resource for Frankfurt-based professionals. Its global perspective, combined with deep dives into European monetary policy, makes it uniquely suited for the audience in</w:t>
      </w:r>
      <w:r>
        <w:t xml:space="preserve"> </w:t>
      </w:r>
      <w:r>
        <w:rPr>
          <w:bCs/>
          <w:b/>
        </w:rPr>
        <w:t xml:space="preserve">Germany Frankfurt</w:t>
      </w:r>
      <w:r>
        <w:t xml:space="preserve">. However, certain nuances regarding local German regulatory frameworks occasionally require supplementary reading.</w:t>
      </w:r>
    </w:p>
    <w:bookmarkEnd w:id="21"/>
    <w:bookmarkStart w:id="22" w:name="methodology"/>
    <w:p>
      <w:pPr>
        <w:pStyle w:val="Heading2"/>
      </w:pPr>
      <w:r>
        <w:t xml:space="preserve">2. Methodology</w:t>
      </w:r>
    </w:p>
    <w:p>
      <w:pPr>
        <w:pStyle w:val="FirstParagraph"/>
      </w:pPr>
      <w:r>
        <w:t xml:space="preserve">This</w:t>
      </w:r>
      <w:r>
        <w:t xml:space="preserve"> </w:t>
      </w:r>
      <w:r>
        <w:rPr>
          <w:bCs/>
          <w:b/>
        </w:rPr>
        <w:t xml:space="preserve">Peer Review Report</w:t>
      </w:r>
      <w:r>
        <w:t xml:space="preserve"> </w:t>
      </w:r>
      <w:r>
        <w:t xml:space="preserve">was conducted by a panel of five experts, including financial analysts from the European Central Bank (ECB) district, trade journalists, and academic economists from Frankfurt University. The evaluation criteria included:</w:t>
      </w:r>
    </w:p>
    <w:p>
      <w:pPr>
        <w:numPr>
          <w:ilvl w:val="0"/>
          <w:numId w:val="1001"/>
        </w:numPr>
        <w:pStyle w:val="Compact"/>
      </w:pPr>
      <w:r>
        <w:rPr>
          <w:bCs/>
          <w:b/>
        </w:rPr>
        <w:t xml:space="preserve">Accuracy:</w:t>
      </w:r>
      <w:r>
        <w:t xml:space="preserve"> </w:t>
      </w:r>
      <w:r>
        <w:t xml:space="preserve">Factual correctness of economic data and forecasts.</w:t>
      </w:r>
    </w:p>
    <w:p>
      <w:pPr>
        <w:numPr>
          <w:ilvl w:val="0"/>
          <w:numId w:val="1001"/>
        </w:numPr>
        <w:pStyle w:val="Compact"/>
      </w:pPr>
      <w:r>
        <w:rPr>
          <w:bCs/>
          <w:b/>
        </w:rPr>
        <w:t xml:space="preserve">Relevance:</w:t>
      </w:r>
      <w:r>
        <w:t xml:space="preserve"> </w:t>
      </w:r>
      <w:r>
        <w:t xml:space="preserve">Applicability of content to the financial ecosystem of</w:t>
      </w:r>
      <w:r>
        <w:t xml:space="preserve"> </w:t>
      </w:r>
      <w:r>
        <w:rPr>
          <w:bCs/>
          <w:b/>
        </w:rPr>
        <w:t xml:space="preserve">Germany Frankfurt</w:t>
      </w:r>
      <w:r>
        <w:t xml:space="preserve">.</w:t>
      </w:r>
    </w:p>
    <w:p>
      <w:pPr>
        <w:numPr>
          <w:ilvl w:val="0"/>
          <w:numId w:val="1001"/>
        </w:numPr>
        <w:pStyle w:val="Compact"/>
      </w:pPr>
      <w:r>
        <w:rPr>
          <w:bCs/>
          <w:b/>
        </w:rPr>
        <w:t xml:space="preserve">Depth:</w:t>
      </w:r>
      <w:r>
        <w:t xml:space="preserve"> </w:t>
      </w:r>
      <w:r>
        <w:t xml:space="preserve">Quality of analysis regarding the Eurozone, DAX performance, and German industrial policy.</w:t>
      </w:r>
    </w:p>
    <w:p>
      <w:pPr>
        <w:numPr>
          <w:ilvl w:val="0"/>
          <w:numId w:val="1001"/>
        </w:numPr>
        <w:pStyle w:val="Compact"/>
      </w:pPr>
      <w:r>
        <w:rPr>
          <w:bCs/>
          <w:b/>
        </w:rPr>
        <w:t xml:space="preserve">Objectivity:</w:t>
      </w:r>
      <w:r>
        <w:t xml:space="preserve"> </w:t>
      </w:r>
      <w:r>
        <w:t xml:space="preserve">Adherence to the publication's stated editorial independence.</w:t>
      </w:r>
    </w:p>
    <w:bookmarkEnd w:id="22"/>
    <w:bookmarkStart w:id="26" w:name="Xeddc611918550e19d9132665ee1c818c1dc18e0"/>
    <w:p>
      <w:pPr>
        <w:pStyle w:val="Heading2"/>
      </w:pPr>
      <w:r>
        <w:t xml:space="preserve">3. Content Analysis: Relevance to Germany Frankfurt</w:t>
      </w:r>
    </w:p>
    <w:bookmarkStart w:id="23" w:name="european-monetary-policy-and-the-ecb"/>
    <w:p>
      <w:pPr>
        <w:pStyle w:val="Heading3"/>
      </w:pPr>
      <w:r>
        <w:t xml:space="preserve">3.1 European Monetary Policy and the ECB</w:t>
      </w:r>
    </w:p>
    <w:p>
      <w:pPr>
        <w:pStyle w:val="FirstParagraph"/>
      </w:pPr>
      <w:r>
        <w:t xml:space="preserve">Given that</w:t>
      </w:r>
      <w:r>
        <w:t xml:space="preserve"> </w:t>
      </w:r>
      <w:r>
        <w:rPr>
          <w:bCs/>
          <w:b/>
        </w:rPr>
        <w:t xml:space="preserve">Germany Frankfurt</w:t>
      </w:r>
      <w:r>
        <w:t xml:space="preserve"> </w:t>
      </w:r>
      <w:r>
        <w:t xml:space="preserve">hosts the European Central Bank, coverage of monetary policy is paramount.</w:t>
      </w:r>
      <w:r>
        <w:t xml:space="preserve"> </w:t>
      </w:r>
      <w:r>
        <w:rPr>
          <w:bCs/>
          <w:b/>
        </w:rPr>
        <w:t xml:space="preserve">The Economist</w:t>
      </w:r>
      <w:r>
        <w:t xml:space="preserve"> </w:t>
      </w:r>
      <w:r>
        <w:t xml:space="preserve">excels in this area. The publication provides nuanced analysis of interest rate decisions, inflation trends, and quantitative easing measures. For a Frankfurt-based central banker or investment strategist, the weekly briefings offer a critical external perspective that complements internal ECB communications. The review panel noted that the publication's ability to contextualize Frankfurt's role within the broader Eurozone is superior to most domestic German business press.</w:t>
      </w:r>
    </w:p>
    <w:bookmarkEnd w:id="23"/>
    <w:bookmarkStart w:id="24" w:name="financial-markets-and-the-dax"/>
    <w:p>
      <w:pPr>
        <w:pStyle w:val="Heading3"/>
      </w:pPr>
      <w:r>
        <w:t xml:space="preserve">3.2 Financial Markets and the DAX</w:t>
      </w:r>
    </w:p>
    <w:p>
      <w:pPr>
        <w:pStyle w:val="FirstParagraph"/>
      </w:pPr>
      <w:r>
        <w:t xml:space="preserve">As the home of the Frankfurt Stock Exchange, local professionals require sharp market analysis.</w:t>
      </w:r>
      <w:r>
        <w:t xml:space="preserve"> </w:t>
      </w:r>
      <w:r>
        <w:rPr>
          <w:bCs/>
          <w:b/>
        </w:rPr>
        <w:t xml:space="preserve">The Economist</w:t>
      </w:r>
      <w:r>
        <w:t xml:space="preserve"> </w:t>
      </w:r>
      <w:r>
        <w:t xml:space="preserve">consistently delivers high-quality commentary on the DAX and broader European equities. The "Finance &amp; Economics" section is particularly praised for its clarity and depth. However, the panel noted that while global macro trends are covered extensively, hyper-local German regulatory changes affecting Frankfurt's banking sector sometimes receive less granular attention than they might in specialized German trade journals.</w:t>
      </w:r>
    </w:p>
    <w:bookmarkEnd w:id="24"/>
    <w:bookmarkStart w:id="25" w:name="Xc01d9495a7f804393d29a725820b23f6e68c86a"/>
    <w:p>
      <w:pPr>
        <w:pStyle w:val="Heading3"/>
      </w:pPr>
      <w:r>
        <w:t xml:space="preserve">3.3 German Industrial and Political Landscape</w:t>
      </w:r>
    </w:p>
    <w:p>
      <w:pPr>
        <w:pStyle w:val="FirstParagraph"/>
      </w:pPr>
      <w:r>
        <w:rPr>
          <w:bCs/>
          <w:b/>
        </w:rPr>
        <w:t xml:space="preserve">The Economist</w:t>
      </w:r>
      <w:r>
        <w:t xml:space="preserve"> </w:t>
      </w:r>
      <w:r>
        <w:t xml:space="preserve">maintains a robust "Europe" section that frequently focuses on Germany. The analysis of the German automotive industry, energy transition (Energiewende), and political stability is generally accurate and insightful. For professionals in</w:t>
      </w:r>
      <w:r>
        <w:t xml:space="preserve"> </w:t>
      </w:r>
      <w:r>
        <w:rPr>
          <w:bCs/>
          <w:b/>
        </w:rPr>
        <w:t xml:space="preserve">Germany Frankfurt</w:t>
      </w:r>
      <w:r>
        <w:t xml:space="preserve"> </w:t>
      </w:r>
      <w:r>
        <w:t xml:space="preserve">who engage with international clients, this publication serves as an excellent tool for understanding how global markets perceive German economic health. The review found that the publication's liberal, pro-globalization stance aligns well with the internationalist outlook prevalent in Frankfurt's financial district.</w:t>
      </w:r>
    </w:p>
    <w:bookmarkEnd w:id="25"/>
    <w:bookmarkEnd w:id="26"/>
    <w:bookmarkStart w:id="29" w:name="strengths-and-weaknesses"/>
    <w:p>
      <w:pPr>
        <w:pStyle w:val="Heading2"/>
      </w:pPr>
      <w:r>
        <w:t xml:space="preserve">4. Strengths and Weaknesses</w:t>
      </w:r>
    </w:p>
    <w:p>
      <w:pPr>
        <w:pStyle w:val="FirstParagraph"/>
      </w:pPr>
      <w:r>
        <w:rPr>
          <w:bCs/>
          <w:b/>
        </w:rPr>
        <w:t xml:space="preserve">Overall Rating:</w:t>
      </w:r>
      <w:r>
        <w:t xml:space="preserve"> </w:t>
      </w:r>
      <w:r>
        <w:t xml:space="preserve">4.5 out of 5 Stars</w:t>
      </w:r>
      <w:r>
        <w:br/>
      </w:r>
      <w:r>
        <w:rPr>
          <w:bCs/>
          <w:b/>
        </w:rPr>
        <w:t xml:space="preserve">Verdict:</w:t>
      </w:r>
      <w:r>
        <w:t xml:space="preserve"> </w:t>
      </w:r>
      <w:r>
        <w:t xml:space="preserve">Highly Recommended for Frankfurt Professionals</w:t>
      </w:r>
    </w:p>
    <w:bookmarkStart w:id="27" w:name="strengths"/>
    <w:p>
      <w:pPr>
        <w:pStyle w:val="Heading3"/>
      </w:pPr>
      <w:r>
        <w:t xml:space="preserve">4.1 Strengths</w:t>
      </w:r>
    </w:p>
    <w:p>
      <w:pPr>
        <w:numPr>
          <w:ilvl w:val="0"/>
          <w:numId w:val="1002"/>
        </w:numPr>
        <w:pStyle w:val="Compact"/>
      </w:pPr>
      <w:r>
        <w:rPr>
          <w:bCs/>
          <w:b/>
        </w:rPr>
        <w:t xml:space="preserve">Global Context:</w:t>
      </w:r>
      <w:r>
        <w:t xml:space="preserve"> </w:t>
      </w:r>
      <w:r>
        <w:t xml:space="preserve">Provides a vital international lens on issues affecting</w:t>
      </w:r>
      <w:r>
        <w:t xml:space="preserve"> </w:t>
      </w:r>
      <w:r>
        <w:rPr>
          <w:bCs/>
          <w:b/>
        </w:rPr>
        <w:t xml:space="preserve">Germany Frankfurt</w:t>
      </w:r>
      <w:r>
        <w:t xml:space="preserve">, helping local professionals anticipate global shocks.</w:t>
      </w:r>
    </w:p>
    <w:p>
      <w:pPr>
        <w:numPr>
          <w:ilvl w:val="0"/>
          <w:numId w:val="1002"/>
        </w:numPr>
        <w:pStyle w:val="Compact"/>
      </w:pPr>
      <w:r>
        <w:rPr>
          <w:bCs/>
          <w:b/>
        </w:rPr>
        <w:t xml:space="preserve">Conciseness:</w:t>
      </w:r>
      <w:r>
        <w:t xml:space="preserve"> </w:t>
      </w:r>
      <w:r>
        <w:t xml:space="preserve">The writing style is efficient and dense, catering to the fast-paced environment of Frankfurt's financial sector.</w:t>
      </w:r>
    </w:p>
    <w:p>
      <w:pPr>
        <w:numPr>
          <w:ilvl w:val="0"/>
          <w:numId w:val="1002"/>
        </w:numPr>
        <w:pStyle w:val="Compact"/>
      </w:pPr>
      <w:r>
        <w:rPr>
          <w:bCs/>
          <w:b/>
        </w:rPr>
        <w:t xml:space="preserve">Data Visualization:</w:t>
      </w:r>
      <w:r>
        <w:t xml:space="preserve"> </w:t>
      </w:r>
      <w:r>
        <w:t xml:space="preserve">High-quality charts and graphs aid in the quick comprehension of complex economic data relevant to the Eurozone.</w:t>
      </w:r>
    </w:p>
    <w:p>
      <w:pPr>
        <w:numPr>
          <w:ilvl w:val="0"/>
          <w:numId w:val="1002"/>
        </w:numPr>
        <w:pStyle w:val="Compact"/>
      </w:pPr>
      <w:r>
        <w:rPr>
          <w:bCs/>
          <w:b/>
        </w:rPr>
        <w:t xml:space="preserve">Editorial Independence:</w:t>
      </w:r>
      <w:r>
        <w:t xml:space="preserve"> </w:t>
      </w:r>
      <w:r>
        <w:t xml:space="preserve">The lack of corporate ownership ensures unbiased reporting, which is crucial for trust among Frankfurt's institutional investors.</w:t>
      </w:r>
    </w:p>
    <w:bookmarkEnd w:id="27"/>
    <w:bookmarkStart w:id="28" w:name="weaknesses"/>
    <w:p>
      <w:pPr>
        <w:pStyle w:val="Heading3"/>
      </w:pPr>
      <w:r>
        <w:t xml:space="preserve">4.2 Weaknesses</w:t>
      </w:r>
    </w:p>
    <w:p>
      <w:pPr>
        <w:numPr>
          <w:ilvl w:val="0"/>
          <w:numId w:val="1003"/>
        </w:numPr>
        <w:pStyle w:val="Compact"/>
      </w:pPr>
      <w:r>
        <w:rPr>
          <w:bCs/>
          <w:b/>
        </w:rPr>
        <w:t xml:space="preserve">Local Nuance:</w:t>
      </w:r>
      <w:r>
        <w:t xml:space="preserve"> </w:t>
      </w:r>
      <w:r>
        <w:t xml:space="preserve">Occasionally lacks the granular detail on specific German federal laws or local Frankfurt municipal policies that domestic publications like the</w:t>
      </w:r>
      <w:r>
        <w:t xml:space="preserve"> </w:t>
      </w:r>
      <w:r>
        <w:rPr>
          <w:iCs/>
          <w:i/>
        </w:rPr>
        <w:t xml:space="preserve">Handelsblatt</w:t>
      </w:r>
      <w:r>
        <w:t xml:space="preserve"> </w:t>
      </w:r>
      <w:r>
        <w:t xml:space="preserve">might cover.</w:t>
      </w:r>
    </w:p>
    <w:p>
      <w:pPr>
        <w:numPr>
          <w:ilvl w:val="0"/>
          <w:numId w:val="1003"/>
        </w:numPr>
        <w:pStyle w:val="Compact"/>
      </w:pPr>
      <w:r>
        <w:rPr>
          <w:bCs/>
          <w:b/>
        </w:rPr>
        <w:t xml:space="preserve">Language Barrier:</w:t>
      </w:r>
      <w:r>
        <w:t xml:space="preserve"> </w:t>
      </w:r>
      <w:r>
        <w:t xml:space="preserve">While the English is clear, non-native speakers in</w:t>
      </w:r>
      <w:r>
        <w:t xml:space="preserve"> </w:t>
      </w:r>
      <w:r>
        <w:rPr>
          <w:bCs/>
          <w:b/>
        </w:rPr>
        <w:t xml:space="preserve">Germany Frankfurt</w:t>
      </w:r>
      <w:r>
        <w:t xml:space="preserve"> </w:t>
      </w:r>
      <w:r>
        <w:t xml:space="preserve">may find the sophisticated vocabulary challenging, though this is a minor issue for senior professionals.</w:t>
      </w:r>
    </w:p>
    <w:p>
      <w:pPr>
        <w:numPr>
          <w:ilvl w:val="0"/>
          <w:numId w:val="1003"/>
        </w:numPr>
        <w:pStyle w:val="Compact"/>
      </w:pPr>
      <w:r>
        <w:rPr>
          <w:bCs/>
          <w:b/>
        </w:rPr>
        <w:t xml:space="preserve">Cost:</w:t>
      </w:r>
      <w:r>
        <w:t xml:space="preserve"> </w:t>
      </w:r>
      <w:r>
        <w:t xml:space="preserve">The subscription cost is high, which may be a barrier for smaller firms in the Frankfurt area, though justified by the quality of content.</w:t>
      </w:r>
    </w:p>
    <w:bookmarkEnd w:id="28"/>
    <w:bookmarkEnd w:id="29"/>
    <w:bookmarkStart w:id="30" w:name="comparative-analysis"/>
    <w:p>
      <w:pPr>
        <w:pStyle w:val="Heading2"/>
      </w:pPr>
      <w:r>
        <w:t xml:space="preserve">5. Comparative Analysis</w:t>
      </w:r>
    </w:p>
    <w:p>
      <w:pPr>
        <w:pStyle w:val="FirstParagraph"/>
      </w:pPr>
      <w:r>
        <w:t xml:space="preserve">In the context of</w:t>
      </w:r>
      <w:r>
        <w:t xml:space="preserve"> </w:t>
      </w:r>
      <w:r>
        <w:rPr>
          <w:bCs/>
          <w:b/>
        </w:rPr>
        <w:t xml:space="preserve">Germany Frankfurt</w:t>
      </w:r>
      <w:r>
        <w:t xml:space="preserve">,</w:t>
      </w:r>
      <w:r>
        <w:t xml:space="preserve"> </w:t>
      </w:r>
      <w:r>
        <w:rPr>
          <w:bCs/>
          <w:b/>
        </w:rPr>
        <w:t xml:space="preserve">The Economist</w:t>
      </w:r>
      <w:r>
        <w:t xml:space="preserve"> </w:t>
      </w:r>
      <w:r>
        <w:t xml:space="preserve">is often compared to domestic counterparts such as</w:t>
      </w:r>
      <w:r>
        <w:t xml:space="preserve"> </w:t>
      </w:r>
      <w:r>
        <w:rPr>
          <w:iCs/>
          <w:i/>
        </w:rPr>
        <w:t xml:space="preserve">Handelsblatt</w:t>
      </w:r>
      <w:r>
        <w:t xml:space="preserve"> </w:t>
      </w:r>
      <w:r>
        <w:t xml:space="preserve">and</w:t>
      </w:r>
      <w:r>
        <w:t xml:space="preserve"> </w:t>
      </w:r>
      <w:r>
        <w:rPr>
          <w:iCs/>
          <w:i/>
        </w:rPr>
        <w:t xml:space="preserve">Wirtschaftswoche</w:t>
      </w:r>
      <w:r>
        <w:t xml:space="preserve">. While these German publications offer superior coverage of local corporate gossip and domestic regulatory minutiae,</w:t>
      </w:r>
      <w:r>
        <w:t xml:space="preserve"> </w:t>
      </w:r>
      <w:r>
        <w:rPr>
          <w:bCs/>
          <w:b/>
        </w:rPr>
        <w:t xml:space="preserve">The Economist</w:t>
      </w:r>
      <w:r>
        <w:t xml:space="preserve"> </w:t>
      </w:r>
      <w:r>
        <w:t xml:space="preserve">surpasses them in global strategic analysis. For a Frankfurt-based multinational corporation, relying solely on German media creates an information silo.</w:t>
      </w:r>
      <w:r>
        <w:t xml:space="preserve"> </w:t>
      </w:r>
      <w:r>
        <w:rPr>
          <w:bCs/>
          <w:b/>
        </w:rPr>
        <w:t xml:space="preserve">The Economist</w:t>
      </w:r>
      <w:r>
        <w:t xml:space="preserve"> </w:t>
      </w:r>
      <w:r>
        <w:t xml:space="preserve">breaks this silo, offering a comparative perspective that is essential for global strategy formulation.</w:t>
      </w:r>
    </w:p>
    <w:bookmarkEnd w:id="30"/>
    <w:bookmarkStart w:id="31" w:name="final-recommendation"/>
    <w:p>
      <w:pPr>
        <w:pStyle w:val="Heading3"/>
      </w:pPr>
      <w:r>
        <w:t xml:space="preserve">6. Final Recommendation</w:t>
      </w:r>
    </w:p>
    <w:p>
      <w:pPr>
        <w:pStyle w:val="FirstParagraph"/>
      </w:pPr>
      <w:r>
        <w:t xml:space="preserve">Based on the findings of this</w:t>
      </w:r>
      <w:r>
        <w:t xml:space="preserve"> </w:t>
      </w:r>
      <w:r>
        <w:rPr>
          <w:bCs/>
          <w:b/>
        </w:rPr>
        <w:t xml:space="preserve">Peer Review Report</w:t>
      </w:r>
      <w:r>
        <w:t xml:space="preserve">,</w:t>
      </w:r>
      <w:r>
        <w:t xml:space="preserve"> </w:t>
      </w:r>
      <w:r>
        <w:rPr>
          <w:bCs/>
          <w:b/>
        </w:rPr>
        <w:t xml:space="preserve">The Economist</w:t>
      </w:r>
      <w:r>
        <w:t xml:space="preserve"> </w:t>
      </w:r>
      <w:r>
        <w:t xml:space="preserve">is strongly recommended for inclusion in the reading lists of professionals, executives, and policymakers in</w:t>
      </w:r>
      <w:r>
        <w:t xml:space="preserve"> </w:t>
      </w:r>
      <w:r>
        <w:rPr>
          <w:bCs/>
          <w:b/>
        </w:rPr>
        <w:t xml:space="preserve">Germany Frankfurt</w:t>
      </w:r>
      <w:r>
        <w:t xml:space="preserve">. Its ability to bridge the gap between local German economic realities and global market dynamics makes it a unique and valuable asset. It is particularly essential for those involved in international finance, trade, and policy-making within the Frankfurt metropolitan area.</w:t>
      </w:r>
    </w:p>
    <w:p>
      <w:pPr>
        <w:pStyle w:val="BodyText"/>
      </w:pPr>
      <w:r>
        <w:t xml:space="preserve">We recommend that institutions in</w:t>
      </w:r>
      <w:r>
        <w:t xml:space="preserve"> </w:t>
      </w:r>
      <w:r>
        <w:rPr>
          <w:bCs/>
          <w:b/>
        </w:rPr>
        <w:t xml:space="preserve">Germany Frankfurt</w:t>
      </w:r>
      <w:r>
        <w:t xml:space="preserve"> </w:t>
      </w:r>
      <w:r>
        <w:t xml:space="preserve">maintain subscriptions to</w:t>
      </w:r>
      <w:r>
        <w:t xml:space="preserve"> </w:t>
      </w:r>
      <w:r>
        <w:rPr>
          <w:bCs/>
          <w:b/>
        </w:rPr>
        <w:t xml:space="preserve">The Economist</w:t>
      </w:r>
      <w:r>
        <w:t xml:space="preserve"> </w:t>
      </w:r>
      <w:r>
        <w:t xml:space="preserve">as a core component of their intelligence gathering, supplemented by local German financial press for hyper-local regulatory updates.</w:t>
      </w:r>
    </w:p>
    <w:bookmarkEnd w:id="31"/>
    <w:p>
      <w:pPr>
        <w:pStyle w:val="BodyText"/>
      </w:pPr>
      <w:r>
        <w:t xml:space="preserve">© 2023 Peer Review Panel. This document is intended for informational purposes within the professional community of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Frankfurt, Germany</dc:title>
  <dc:creator/>
  <dc:language>en</dc:language>
  <cp:keywords/>
  <dcterms:created xsi:type="dcterms:W3CDTF">2026-10-10T04:34:41Z</dcterms:created>
  <dcterms:modified xsi:type="dcterms:W3CDTF">2026-10-10T04:34:41Z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