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bookmarkStart w:id="28"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(Periodical Publication)</w:t>
      </w:r>
    </w:p>
    <w:p>
      <w:pPr>
        <w:pStyle w:val="BodyText"/>
      </w:pPr>
      <w:r>
        <w:rPr>
          <w:bCs/>
          <w:b/>
        </w:rPr>
        <w:t xml:space="preserve">Contextual Focus:</w:t>
      </w:r>
      <w:r>
        <w:t xml:space="preserve"> </w:t>
      </w:r>
      <w:r>
        <w:t xml:space="preserve">Iran, Tehran</w:t>
      </w:r>
    </w:p>
    <w:p>
      <w:pPr>
        <w:pStyle w:val="BodyText"/>
      </w:pPr>
      <w:r>
        <w:rPr>
          <w:bCs/>
          <w:b/>
        </w:rPr>
        <w:t xml:space="preserve">Review Type:</w:t>
      </w:r>
      <w:r>
        <w:t xml:space="preserve"> </w:t>
      </w:r>
      <w:r>
        <w:t xml:space="preserve">Critical Analysis and Regional Relevance Assessment</w:t>
      </w:r>
    </w:p>
    <w:p>
      <w:pPr>
        <w:pStyle w:val="BodyText"/>
      </w:pPr>
      <w:r>
        <w:rPr>
          <w:bCs/>
          <w:b/>
        </w:rPr>
        <w:t xml:space="preserve">Date:</w:t>
      </w:r>
      <w:r>
        <w:t xml:space="preserve"> </w:t>
      </w:r>
      <w:r>
        <w:t xml:space="preserve">October 26, 2023</w:t>
      </w:r>
    </w:p>
    <w:p>
      <w:pPr>
        <w:pStyle w:val="BodyText"/>
      </w:pPr>
      <w:r>
        <w:rPr>
          <w:bCs/>
          <w:b/>
        </w:rPr>
        <w:t xml:space="preserve">Reviewer ID:</w:t>
      </w:r>
      <w:r>
        <w:t xml:space="preserve"> </w:t>
      </w:r>
      <w:r>
        <w:t xml:space="preserve">PR-TEH-2023-089</w:t>
      </w:r>
    </w:p>
    <w:bookmarkStart w:id="20" w:name="introduction-and-scope"/>
    <w:p>
      <w:pPr>
        <w:pStyle w:val="Heading2"/>
      </w:pPr>
      <w:r>
        <w:t xml:space="preserve">1. Introduction and Scope</w:t>
      </w:r>
    </w:p>
    <w:p>
      <w:pPr>
        <w:pStyle w:val="FirstParagraph"/>
      </w:pPr>
      <w:r>
        <w:t xml:space="preserve">This Peer Review Report provides a comprehensive evaluation of</w:t>
      </w:r>
      <w:r>
        <w:t xml:space="preserve"> </w:t>
      </w:r>
      <w:r>
        <w:rPr>
          <w:iCs/>
          <w:i/>
        </w:rPr>
        <w:t xml:space="preserve">The Economist</w:t>
      </w:r>
      <w:r>
        <w:t xml:space="preserve">, a globally recognized weekly news and international affairs publication. The primary objective of this review is to assess the publication's editorial quality, analytical depth, and specific relevance to the geopolitical and economic landscape of</w:t>
      </w:r>
      <w:r>
        <w:t xml:space="preserve"> </w:t>
      </w:r>
      <w:r>
        <w:rPr>
          <w:bCs/>
          <w:b/>
        </w:rPr>
        <w:t xml:space="preserve">Iran</w:t>
      </w:r>
      <w:r>
        <w:t xml:space="preserve">, with a particular focus on the capital city,</w:t>
      </w:r>
      <w:r>
        <w:t xml:space="preserve"> </w:t>
      </w:r>
      <w:r>
        <w:rPr>
          <w:bCs/>
          <w:b/>
        </w:rPr>
        <w:t xml:space="preserve">Tehran</w:t>
      </w:r>
      <w:r>
        <w:t xml:space="preserve">.</w:t>
      </w:r>
    </w:p>
    <w:p>
      <w:pPr>
        <w:pStyle w:val="BodyText"/>
      </w:pPr>
      <w:r>
        <w:t xml:space="preserve">As a peer-reviewed assessment, this document examines how</w:t>
      </w:r>
      <w:r>
        <w:t xml:space="preserve"> </w:t>
      </w:r>
      <w:r>
        <w:rPr>
          <w:iCs/>
          <w:i/>
        </w:rPr>
        <w:t xml:space="preserve">The Economist</w:t>
      </w:r>
      <w:r>
        <w:t xml:space="preserve"> </w:t>
      </w:r>
      <w:r>
        <w:t xml:space="preserve">serves as an information resource for policymakers, academics, business leaders, and the general public residing in Tehran. It evaluates the publication's ability to navigate the complex socio-economic dynamics of the region while maintaining its signature editorial standards.</w:t>
      </w:r>
    </w:p>
    <w:bookmarkEnd w:id="20"/>
    <w:bookmarkStart w:id="21" w:name="editorial-integrity-and-analytical-rigor"/>
    <w:p>
      <w:pPr>
        <w:pStyle w:val="Heading2"/>
      </w:pPr>
      <w:r>
        <w:t xml:space="preserve">2. Editorial Integrity and Analytical Rigor</w:t>
      </w:r>
    </w:p>
    <w:p>
      <w:pPr>
        <w:pStyle w:val="FirstParagraph"/>
      </w:pPr>
      <w:r>
        <w:rPr>
          <w:iCs/>
          <w:i/>
        </w:rPr>
        <w:t xml:space="preserve">The Economist</w:t>
      </w:r>
      <w:r>
        <w:t xml:space="preserve"> </w:t>
      </w:r>
      <w:r>
        <w:t xml:space="preserve">is renowned for its commitment to liberal economic principles and its distinct editorial voice. In the context of Iran, the publication demonstrates a high degree of analytical rigor. Unlike many regional outlets that may be subject to immediate political pressure,</w:t>
      </w:r>
      <w:r>
        <w:t xml:space="preserve"> </w:t>
      </w:r>
      <w:r>
        <w:rPr>
          <w:iCs/>
          <w:i/>
        </w:rPr>
        <w:t xml:space="preserve">The Economist</w:t>
      </w:r>
      <w:r>
        <w:t xml:space="preserve"> </w:t>
      </w:r>
      <w:r>
        <w:t xml:space="preserve">maintains a consistent ideological framework. For readers in Tehran, this offers a stable, albeit Western-centric, perspective on global events.</w:t>
      </w:r>
    </w:p>
    <w:p>
      <w:pPr>
        <w:pStyle w:val="BodyText"/>
      </w:pPr>
      <w:r>
        <w:t xml:space="preserve">The review notes that the publication’s coverage of Iran is rarely superficial. Articles frequently delve into the intricacies of the Islamic Republic's economic policies, the impact of international sanctions, and the internal political struggles within Tehran. The use of data visualization and statistical analysis is particularly commendable, providing Tehran-based economists with valuable comparative metrics against global markets.</w:t>
      </w:r>
    </w:p>
    <w:bookmarkEnd w:id="21"/>
    <w:bookmarkStart w:id="22" w:name="relevance-to-the-iranian-context"/>
    <w:p>
      <w:pPr>
        <w:pStyle w:val="Heading2"/>
      </w:pPr>
      <w:r>
        <w:t xml:space="preserve">3. Relevance to the Iranian Context</w:t>
      </w:r>
    </w:p>
    <w:p>
      <w:pPr>
        <w:pStyle w:val="FirstParagraph"/>
      </w:pPr>
      <w:r>
        <w:t xml:space="preserve">The relevance of</w:t>
      </w:r>
      <w:r>
        <w:t xml:space="preserve"> </w:t>
      </w:r>
      <w:r>
        <w:rPr>
          <w:iCs/>
          <w:i/>
        </w:rPr>
        <w:t xml:space="preserve">The Economist</w:t>
      </w:r>
      <w:r>
        <w:t xml:space="preserve"> </w:t>
      </w:r>
      <w:r>
        <w:t xml:space="preserve">to the situation in Iran is significant, though it comes with specific caveats. The publication frequently addresses the "Tehran factor" in global energy markets, nuclear negotiations, and regional security. For the business community in Tehran, the publication serves as a crucial barometer for understanding how Western markets perceive Iranian economic reforms and stability.</w:t>
      </w:r>
    </w:p>
    <w:p>
      <w:pPr>
        <w:pStyle w:val="BodyText"/>
      </w:pPr>
      <w:r>
        <w:t xml:space="preserve">However, a critical peer review must acknowledge the publication's stance.</w:t>
      </w:r>
      <w:r>
        <w:t xml:space="preserve"> </w:t>
      </w:r>
      <w:r>
        <w:rPr>
          <w:iCs/>
          <w:i/>
        </w:rPr>
        <w:t xml:space="preserve">The Economist</w:t>
      </w:r>
      <w:r>
        <w:t xml:space="preserve"> </w:t>
      </w:r>
      <w:r>
        <w:t xml:space="preserve">often adopts a critical view of the Iranian government's human rights record and its foreign policy in the Middle East. While this aligns with its liberal democratic values, it may be perceived as biased by certain segments of the population in Tehran. Therefore, while the publication is highly relevant for understanding external pressures on Iran, it should be read alongside local sources to gain a holistic view of the internal sentiment in Tehran.</w:t>
      </w:r>
    </w:p>
    <w:bookmarkEnd w:id="22"/>
    <w:bookmarkStart w:id="23" w:name="accessibility-and-distribution-in-tehran"/>
    <w:p>
      <w:pPr>
        <w:pStyle w:val="Heading2"/>
      </w:pPr>
      <w:r>
        <w:t xml:space="preserve">4. Accessibility and Distribution in Tehran</w:t>
      </w:r>
    </w:p>
    <w:p>
      <w:pPr>
        <w:pStyle w:val="FirstParagraph"/>
      </w:pPr>
      <w:r>
        <w:t xml:space="preserve">A practical aspect of this review concerns the accessibility of</w:t>
      </w:r>
      <w:r>
        <w:t xml:space="preserve"> </w:t>
      </w:r>
      <w:r>
        <w:rPr>
          <w:iCs/>
          <w:i/>
        </w:rPr>
        <w:t xml:space="preserve">The Economist</w:t>
      </w:r>
      <w:r>
        <w:t xml:space="preserve"> </w:t>
      </w:r>
      <w:r>
        <w:t xml:space="preserve">within Iran. Due to international sanctions and local internet regulations, digital access can be intermittent. However, the publication maintains a strong presence through digital subscriptions and physical distribution in major urban centers like Tehran.</w:t>
      </w:r>
    </w:p>
    <w:p>
      <w:pPr>
        <w:pStyle w:val="BodyText"/>
      </w:pPr>
      <w:r>
        <w:t xml:space="preserve">In Tehran, the publication is widely available in upscale bookstores, international hotels, and university libraries. It is a staple reading material for the English-speaking elite, including diplomats, academics, and private sector executives. The digital edition's mobile app is particularly popular among younger professionals in Tehran who seek unfiltered access to global economic news.</w:t>
      </w:r>
    </w:p>
    <w:bookmarkEnd w:id="23"/>
    <w:bookmarkStart w:id="26" w:name="strengths-and-weaknesses"/>
    <w:p>
      <w:pPr>
        <w:pStyle w:val="Heading2"/>
      </w:pPr>
      <w:r>
        <w:t xml:space="preserve">5. Strengths and Weaknesses</w:t>
      </w:r>
    </w:p>
    <w:bookmarkStart w:id="24" w:name="strengths"/>
    <w:p>
      <w:pPr>
        <w:pStyle w:val="Heading3"/>
      </w:pPr>
      <w:r>
        <w:t xml:space="preserve">Strengths</w:t>
      </w:r>
    </w:p>
    <w:p>
      <w:pPr>
        <w:numPr>
          <w:ilvl w:val="0"/>
          <w:numId w:val="1001"/>
        </w:numPr>
        <w:pStyle w:val="Compact"/>
      </w:pPr>
      <w:r>
        <w:rPr>
          <w:bCs/>
          <w:b/>
        </w:rPr>
        <w:t xml:space="preserve">Global Perspective:</w:t>
      </w:r>
      <w:r>
        <w:t xml:space="preserve"> </w:t>
      </w:r>
      <w:r>
        <w:t xml:space="preserve">Provides Tehran-based readers with a clear understanding of how global markets view Iran.</w:t>
      </w:r>
    </w:p>
    <w:p>
      <w:pPr>
        <w:numPr>
          <w:ilvl w:val="0"/>
          <w:numId w:val="1001"/>
        </w:numPr>
        <w:pStyle w:val="Compact"/>
      </w:pPr>
      <w:r>
        <w:rPr>
          <w:bCs/>
          <w:b/>
        </w:rPr>
        <w:t xml:space="preserve">Economic Depth:</w:t>
      </w:r>
      <w:r>
        <w:t xml:space="preserve"> </w:t>
      </w:r>
      <w:r>
        <w:t xml:space="preserve">Offers superior analysis of macroeconomic trends affecting the Iranian Rial and inflation rates.</w:t>
      </w:r>
    </w:p>
    <w:p>
      <w:pPr>
        <w:numPr>
          <w:ilvl w:val="0"/>
          <w:numId w:val="1001"/>
        </w:numPr>
        <w:pStyle w:val="Compact"/>
      </w:pPr>
      <w:r>
        <w:rPr>
          <w:bCs/>
          <w:b/>
        </w:rPr>
        <w:t xml:space="preserve">Conciseness:</w:t>
      </w:r>
      <w:r>
        <w:t xml:space="preserve"> </w:t>
      </w:r>
      <w:r>
        <w:t xml:space="preserve">The efficient writing style allows busy professionals in Tehran to stay informed quickly.</w:t>
      </w:r>
    </w:p>
    <w:bookmarkEnd w:id="24"/>
    <w:bookmarkStart w:id="25" w:name="weaknesses"/>
    <w:p>
      <w:pPr>
        <w:pStyle w:val="Heading3"/>
      </w:pPr>
      <w:r>
        <w:t xml:space="preserve">Weaknesses</w:t>
      </w:r>
    </w:p>
    <w:p>
      <w:pPr>
        <w:numPr>
          <w:ilvl w:val="0"/>
          <w:numId w:val="1002"/>
        </w:numPr>
        <w:pStyle w:val="Compact"/>
      </w:pPr>
      <w:r>
        <w:rPr>
          <w:bCs/>
          <w:b/>
        </w:rPr>
        <w:t xml:space="preserve">Western Bias:</w:t>
      </w:r>
      <w:r>
        <w:t xml:space="preserve"> </w:t>
      </w:r>
      <w:r>
        <w:t xml:space="preserve">The editorial stance may overlook nuances of Iranian domestic politics that are not visible from the West.</w:t>
      </w:r>
    </w:p>
    <w:p>
      <w:pPr>
        <w:numPr>
          <w:ilvl w:val="0"/>
          <w:numId w:val="1002"/>
        </w:numPr>
        <w:pStyle w:val="Compact"/>
      </w:pPr>
      <w:r>
        <w:rPr>
          <w:bCs/>
          <w:b/>
        </w:rPr>
        <w:t xml:space="preserve">Access Barriers:</w:t>
      </w:r>
      <w:r>
        <w:t xml:space="preserve"> </w:t>
      </w:r>
      <w:r>
        <w:t xml:space="preserve">Payment restrictions due to sanctions can make subscribing difficult for residents in Iran.</w:t>
      </w:r>
    </w:p>
    <w:p>
      <w:pPr>
        <w:numPr>
          <w:ilvl w:val="0"/>
          <w:numId w:val="1002"/>
        </w:numPr>
        <w:pStyle w:val="Compact"/>
      </w:pPr>
      <w:r>
        <w:rPr>
          <w:bCs/>
          <w:b/>
        </w:rPr>
        <w:t xml:space="preserve">Language Barrier:</w:t>
      </w:r>
      <w:r>
        <w:t xml:space="preserve"> </w:t>
      </w:r>
      <w:r>
        <w:t xml:space="preserve">While English is widely spoken in Tehran's professional circles, the publication is not available in Persian, limiting its reach to the general public.</w:t>
      </w:r>
    </w:p>
    <w:bookmarkEnd w:id="25"/>
    <w:bookmarkEnd w:id="26"/>
    <w:bookmarkStart w:id="27" w:name="conclusion-and-recommendation"/>
    <w:p>
      <w:pPr>
        <w:pStyle w:val="Heading2"/>
      </w:pPr>
      <w:r>
        <w:t xml:space="preserve">6. Conclusion and Recommendation</w:t>
      </w:r>
    </w:p>
    <w:p>
      <w:pPr>
        <w:pStyle w:val="FirstParagraph"/>
      </w:pPr>
      <w:r>
        <w:t xml:space="preserve">In conclusion,</w:t>
      </w:r>
      <w:r>
        <w:t xml:space="preserve"> </w:t>
      </w:r>
      <w:r>
        <w:rPr>
          <w:iCs/>
          <w:i/>
        </w:rPr>
        <w:t xml:space="preserve">The Economist</w:t>
      </w:r>
      <w:r>
        <w:t xml:space="preserve"> </w:t>
      </w:r>
      <w:r>
        <w:t xml:space="preserve">remains an indispensable resource for anyone in</w:t>
      </w:r>
      <w:r>
        <w:t xml:space="preserve"> </w:t>
      </w:r>
      <w:r>
        <w:rPr>
          <w:bCs/>
          <w:b/>
        </w:rPr>
        <w:t xml:space="preserve">Iran</w:t>
      </w:r>
      <w:r>
        <w:t xml:space="preserve">, particularly in</w:t>
      </w:r>
      <w:r>
        <w:t xml:space="preserve"> </w:t>
      </w:r>
      <w:r>
        <w:rPr>
          <w:bCs/>
          <w:b/>
        </w:rPr>
        <w:t xml:space="preserve">Tehran</w:t>
      </w:r>
      <w:r>
        <w:t xml:space="preserve">, who seeks to understand the intersection of global economics and regional politics. Its rigorous analysis and consistent editorial voice provide a valuable counterpoint to local media narratives.</w:t>
      </w:r>
    </w:p>
    <w:p>
      <w:pPr>
        <w:pStyle w:val="BodyText"/>
      </w:pPr>
      <w:r>
        <w:t xml:space="preserve">This Peer Review Report recommends</w:t>
      </w:r>
      <w:r>
        <w:t xml:space="preserve"> </w:t>
      </w:r>
      <w:r>
        <w:rPr>
          <w:iCs/>
          <w:i/>
        </w:rPr>
        <w:t xml:space="preserve">The Economist</w:t>
      </w:r>
      <w:r>
        <w:t xml:space="preserve"> </w:t>
      </w:r>
      <w:r>
        <w:t xml:space="preserve">as a primary source for economic intelligence and geopolitical analysis for professionals in Tehran. However, it is advised that readers critically engage with the content, recognizing its Western liberal perspective, and supplement it with diverse sources to form a complete understanding of the complex realities facing Iran today.</w:t>
      </w:r>
    </w:p>
    <w:p>
      <w:pPr>
        <w:pStyle w:val="BodyText"/>
      </w:pPr>
      <w:r>
        <w:rPr>
          <w:bCs/>
          <w:b/>
        </w:rPr>
        <w:t xml:space="preserve">Reviewed by:</w:t>
      </w:r>
      <w:r>
        <w:t xml:space="preserve"> </w:t>
      </w:r>
      <w:r>
        <w:t xml:space="preserve">Independent Peer Review Board</w:t>
      </w:r>
      <w:r>
        <w:br/>
      </w:r>
      <w:r>
        <w:rPr>
          <w:bCs/>
          <w:b/>
        </w:rPr>
        <w:t xml:space="preserve">Specialization:</w:t>
      </w:r>
      <w:r>
        <w:t xml:space="preserve"> </w:t>
      </w:r>
      <w:r>
        <w:t xml:space="preserve">International Media &amp; Regional Economics</w:t>
      </w:r>
      <w:r>
        <w:br/>
      </w:r>
      <w:r>
        <w:rPr>
          <w:bCs/>
          <w:b/>
        </w:rPr>
        <w:t xml:space="preserve">Location:</w:t>
      </w:r>
      <w:r>
        <w:t xml:space="preserve"> </w:t>
      </w:r>
      <w:r>
        <w:t xml:space="preserve">Tehran, Iran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the Context of Iran, Tehran</dc:title>
  <dc:creator/>
  <dc:language>en</dc:language>
  <cp:keywords/>
  <dcterms:created xsi:type="dcterms:W3CDTF">2026-10-10T05:10:53Z</dcterms:created>
  <dcterms:modified xsi:type="dcterms:W3CDTF">2026-10-10T05:10:53Z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