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Myanmar</w:t>
      </w:r>
      <w:r>
        <w:t xml:space="preserve"> </w:t>
      </w:r>
      <w:r>
        <w:t xml:space="preserve">Yangon</w:t>
      </w:r>
    </w:p>
    <w:bookmarkStart w:id="20"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and Digital Platform)</w:t>
      </w:r>
    </w:p>
    <w:p>
      <w:pPr>
        <w:pStyle w:val="BodyText"/>
      </w:pPr>
      <w:r>
        <w:rPr>
          <w:bCs/>
          <w:b/>
        </w:rPr>
        <w:t xml:space="preserve">Contextual Focus:</w:t>
      </w:r>
      <w:r>
        <w:t xml:space="preserve"> </w:t>
      </w:r>
      <w:r>
        <w:t xml:space="preserve">Relevance and Utility for Stakeholders in Myanmar Yangon</w:t>
      </w:r>
    </w:p>
    <w:p>
      <w:pPr>
        <w:pStyle w:val="BodyText"/>
      </w:pPr>
      <w:r>
        <w:rPr>
          <w:bCs/>
          <w:b/>
        </w:rPr>
        <w:t xml:space="preserve">Date of Review:</w:t>
      </w:r>
      <w:r>
        <w:t xml:space="preserve"> </w:t>
      </w:r>
      <w:r>
        <w:t xml:space="preserve">October 26, 2023</w:t>
      </w:r>
    </w:p>
    <w:p>
      <w:pPr>
        <w:pStyle w:val="BodyText"/>
      </w:pPr>
      <w:r>
        <w:rPr>
          <w:bCs/>
          <w:b/>
        </w:rPr>
        <w:t xml:space="preserve">Review Type:</w:t>
      </w:r>
      <w:r>
        <w:t xml:space="preserve"> </w:t>
      </w:r>
      <w:r>
        <w:t xml:space="preserve">Strategic Content Analysis and Local Applicability Assessment</w:t>
      </w:r>
    </w:p>
    <w:bookmarkEnd w:id="20"/>
    <w:bookmarkStart w:id="21" w:name="executive-summary"/>
    <w:p>
      <w:pPr>
        <w:pStyle w:val="Heading2"/>
      </w:pPr>
      <w:r>
        <w:t xml:space="preserve">1. Executive Summary</w:t>
      </w:r>
    </w:p>
    <w:p>
      <w:pPr>
        <w:pStyle w:val="FirstParagraph"/>
      </w:pPr>
      <w:r>
        <w:t xml:space="preserve">This Peer Review Report evaluates the utility, relevance, and strategic value of</w:t>
      </w:r>
      <w:r>
        <w:t xml:space="preserve"> </w:t>
      </w:r>
      <w:r>
        <w:rPr>
          <w:bCs/>
          <w:b/>
        </w:rPr>
        <w:t xml:space="preserve">The Economist</w:t>
      </w:r>
      <w:r>
        <w:t xml:space="preserve"> </w:t>
      </w:r>
      <w:r>
        <w:t xml:space="preserve">as an informational resource for professionals, policymakers, and business leaders operating within</w:t>
      </w:r>
      <w:r>
        <w:t xml:space="preserve"> </w:t>
      </w:r>
      <w:r>
        <w:rPr>
          <w:bCs/>
          <w:b/>
        </w:rPr>
        <w:t xml:space="preserve">Myanmar Yangon</w:t>
      </w:r>
      <w:r>
        <w:t xml:space="preserve">. Given the complex geopolitical and economic landscape currently defining Myanmar, access to high-quality, unbiased global intelligence is critical. This report assesses whether the publication’s global perspective adequately serves the specific needs of the Yangon market, considering factors such as economic volatility, regulatory shifts, and international relations.</w:t>
      </w:r>
    </w:p>
    <w:p>
      <w:pPr>
        <w:pStyle w:val="BodyText"/>
      </w:pPr>
      <w:r>
        <w:t xml:space="preserve">The review concludes that while</w:t>
      </w:r>
      <w:r>
        <w:t xml:space="preserve"> </w:t>
      </w:r>
      <w:r>
        <w:rPr>
          <w:bCs/>
          <w:b/>
        </w:rPr>
        <w:t xml:space="preserve">The Economist</w:t>
      </w:r>
      <w:r>
        <w:t xml:space="preserve"> </w:t>
      </w:r>
      <w:r>
        <w:t xml:space="preserve">offers unparalleled macroeconomic analysis, its direct applicability to</w:t>
      </w:r>
      <w:r>
        <w:t xml:space="preserve"> </w:t>
      </w:r>
      <w:r>
        <w:rPr>
          <w:bCs/>
          <w:b/>
        </w:rPr>
        <w:t xml:space="preserve">Myanmar Yangon</w:t>
      </w:r>
      <w:r>
        <w:t xml:space="preserve"> </w:t>
      </w:r>
      <w:r>
        <w:t xml:space="preserve">requires supplementation with hyper-local data. However, for understanding the external pressures affecting Yangon—such as sanctions, regional trade dynamics, and global commodity prices—it remains an indispensable tool.</w:t>
      </w:r>
    </w:p>
    <w:bookmarkEnd w:id="21"/>
    <w:bookmarkStart w:id="22" w:name="introduction-and-scope"/>
    <w:p>
      <w:pPr>
        <w:pStyle w:val="Heading2"/>
      </w:pPr>
      <w:r>
        <w:t xml:space="preserve">2. Introduction and Scope</w:t>
      </w:r>
    </w:p>
    <w:p>
      <w:pPr>
        <w:pStyle w:val="FirstParagraph"/>
      </w:pPr>
      <w:r>
        <w:rPr>
          <w:bCs/>
          <w:b/>
        </w:rPr>
        <w:t xml:space="preserve">Myanmar Yangon</w:t>
      </w:r>
      <w:r>
        <w:t xml:space="preserve"> </w:t>
      </w:r>
      <w:r>
        <w:t xml:space="preserve">serves as the commercial heart of Myanmar, hosting the majority of the nation's foreign investment, banking infrastructure, and private sector activity. In recent years, the city has faced unprecedented challenges, including political instability, currency fluctuation, and supply chain disruptions. In this environment, decision-makers require information that is not only accurate but also contextualized within a global framework.</w:t>
      </w:r>
    </w:p>
    <w:p>
      <w:pPr>
        <w:pStyle w:val="BodyText"/>
      </w:pPr>
      <w:r>
        <w:rPr>
          <w:bCs/>
          <w:b/>
        </w:rPr>
        <w:t xml:space="preserve">The Economist</w:t>
      </w:r>
      <w:r>
        <w:t xml:space="preserve"> </w:t>
      </w:r>
      <w:r>
        <w:t xml:space="preserve">is a weekly news and international affairs publication known for its concise, authoritative analysis. This peer review examines the publication through the lens of a Yangon-based stakeholder. The scope includes an evaluation of:</w:t>
      </w:r>
    </w:p>
    <w:p>
      <w:pPr>
        <w:numPr>
          <w:ilvl w:val="0"/>
          <w:numId w:val="1001"/>
        </w:numPr>
        <w:pStyle w:val="Compact"/>
      </w:pPr>
      <w:r>
        <w:t xml:space="preserve">The accuracy and depth of coverage regarding Southeast Asian economics.</w:t>
      </w:r>
    </w:p>
    <w:p>
      <w:pPr>
        <w:numPr>
          <w:ilvl w:val="0"/>
          <w:numId w:val="1001"/>
        </w:numPr>
        <w:pStyle w:val="Compact"/>
      </w:pPr>
      <w:r>
        <w:t xml:space="preserve">The relevance of global financial trends to the Yangon business environment.</w:t>
      </w:r>
    </w:p>
    <w:p>
      <w:pPr>
        <w:numPr>
          <w:ilvl w:val="0"/>
          <w:numId w:val="1001"/>
        </w:numPr>
        <w:pStyle w:val="Compact"/>
      </w:pPr>
      <w:r>
        <w:t xml:space="preserve">The publication's stance on political neutrality and its impact on credibility in Myanmar.</w:t>
      </w:r>
    </w:p>
    <w:p>
      <w:pPr>
        <w:numPr>
          <w:ilvl w:val="0"/>
          <w:numId w:val="1001"/>
        </w:numPr>
        <w:pStyle w:val="Compact"/>
      </w:pPr>
      <w:r>
        <w:t xml:space="preserve">The accessibility of the content for English-speaking professionals in Yangon.</w:t>
      </w:r>
    </w:p>
    <w:bookmarkEnd w:id="22"/>
    <w:bookmarkStart w:id="25" w:name="X00f16e4b6f58c1bd7ca468ba3f0002db64ba2e0"/>
    <w:p>
      <w:pPr>
        <w:pStyle w:val="Heading2"/>
      </w:pPr>
      <w:r>
        <w:t xml:space="preserve">3. Content Analysis: Global vs. Local Relevance</w:t>
      </w:r>
    </w:p>
    <w:bookmarkStart w:id="23" w:name="macroeconomic-insight"/>
    <w:p>
      <w:pPr>
        <w:pStyle w:val="Heading3"/>
      </w:pPr>
      <w:r>
        <w:t xml:space="preserve">3.1 Macroeconomic Insight</w:t>
      </w:r>
    </w:p>
    <w:p>
      <w:pPr>
        <w:pStyle w:val="FirstParagraph"/>
      </w:pPr>
      <w:r>
        <w:t xml:space="preserve">One of the primary strengths of</w:t>
      </w:r>
      <w:r>
        <w:t xml:space="preserve"> </w:t>
      </w:r>
      <w:r>
        <w:rPr>
          <w:bCs/>
          <w:b/>
        </w:rPr>
        <w:t xml:space="preserve">The Economist</w:t>
      </w:r>
      <w:r>
        <w:t xml:space="preserve"> </w:t>
      </w:r>
      <w:r>
        <w:t xml:space="preserve">is its ability to connect global macroeconomic trends to local outcomes. For a business leader in</w:t>
      </w:r>
      <w:r>
        <w:t xml:space="preserve"> </w:t>
      </w:r>
      <w:r>
        <w:rPr>
          <w:bCs/>
          <w:b/>
        </w:rPr>
        <w:t xml:space="preserve">Myanmar Yangon</w:t>
      </w:r>
      <w:r>
        <w:t xml:space="preserve">, understanding the Federal Reserve’s interest rate decisions or the European energy crisis is not merely academic; it directly impacts import costs, inflation, and foreign direct investment (FDI) flows into Myanmar. The publication excels in explaining these causal links, providing Yangon stakeholders with a broader context for local economic shocks.</w:t>
      </w:r>
    </w:p>
    <w:bookmarkEnd w:id="23"/>
    <w:bookmarkStart w:id="24" w:name="regional-coverage"/>
    <w:p>
      <w:pPr>
        <w:pStyle w:val="Heading3"/>
      </w:pPr>
      <w:r>
        <w:t xml:space="preserve">3.2 Regional Coverage</w:t>
      </w:r>
    </w:p>
    <w:p>
      <w:pPr>
        <w:pStyle w:val="FirstParagraph"/>
      </w:pPr>
      <w:r>
        <w:t xml:space="preserve">The publication’s "Asia" section provides critical analysis of Myanmar’s neighbors, including Thailand, China, and India. Since Yangon’s economy is heavily integrated with these regional powers, insights into their domestic policies are highly valuable. For instance, analysis of China’s Belt and Road Initiative or Thailand’s border trade policies offers Yangon businesses foresight into potential opportunities and risks. However, the review notes that while regional coverage is robust, specific, granular data on Yangon’s internal market dynamics is often absent, necessitating cross-referencing with local sources.</w:t>
      </w:r>
    </w:p>
    <w:bookmarkEnd w:id="24"/>
    <w:bookmarkEnd w:id="25"/>
    <w:bookmarkStart w:id="28" w:name="Xbc5b7706162e60f6dfca7597493dba105042289"/>
    <w:p>
      <w:pPr>
        <w:pStyle w:val="Heading2"/>
      </w:pPr>
      <w:r>
        <w:t xml:space="preserve">4. Critical Assessment: Challenges for the Yangon Audience</w:t>
      </w:r>
    </w:p>
    <w:bookmarkStart w:id="26" w:name="political-sensitivity-and-bias"/>
    <w:p>
      <w:pPr>
        <w:pStyle w:val="Heading3"/>
      </w:pPr>
      <w:r>
        <w:t xml:space="preserve">4.1 Political Sensitivity and Bias</w:t>
      </w:r>
    </w:p>
    <w:p>
      <w:pPr>
        <w:pStyle w:val="FirstParagraph"/>
      </w:pPr>
      <w:r>
        <w:t xml:space="preserve">A significant consideration for any publication consumed in</w:t>
      </w:r>
      <w:r>
        <w:t xml:space="preserve"> </w:t>
      </w:r>
      <w:r>
        <w:rPr>
          <w:bCs/>
          <w:b/>
        </w:rPr>
        <w:t xml:space="preserve">Myanmar Yangon</w:t>
      </w:r>
      <w:r>
        <w:t xml:space="preserve"> </w:t>
      </w:r>
      <w:r>
        <w:t xml:space="preserve">is political sensitivity.</w:t>
      </w:r>
      <w:r>
        <w:t xml:space="preserve"> </w:t>
      </w:r>
      <w:r>
        <w:rPr>
          <w:bCs/>
          <w:b/>
        </w:rPr>
        <w:t xml:space="preserve">The Economist</w:t>
      </w:r>
      <w:r>
        <w:t xml:space="preserve"> </w:t>
      </w:r>
      <w:r>
        <w:t xml:space="preserve">maintains a liberal, pro-democracy editorial stance. While this aligns with the views of many civil society members and international NGOs in Yangon, it may present challenges for state-owned enterprises or businesses navigating complex relationships with the current military administration. Stakeholders must be aware that the publication’s analysis is not neutral; it is opinionated. This is not a flaw in quality, but a factor in strategic consumption.</w:t>
      </w:r>
    </w:p>
    <w:bookmarkEnd w:id="26"/>
    <w:bookmarkStart w:id="27" w:name="language-and-accessibility"/>
    <w:p>
      <w:pPr>
        <w:pStyle w:val="Heading3"/>
      </w:pPr>
      <w:r>
        <w:t xml:space="preserve">4.2 Language and Accessibility</w:t>
      </w:r>
    </w:p>
    <w:p>
      <w:pPr>
        <w:pStyle w:val="FirstParagraph"/>
      </w:pPr>
      <w:r>
        <w:t xml:space="preserve">The publication is written in sophisticated English. In</w:t>
      </w:r>
      <w:r>
        <w:t xml:space="preserve"> </w:t>
      </w:r>
      <w:r>
        <w:rPr>
          <w:bCs/>
          <w:b/>
        </w:rPr>
        <w:t xml:space="preserve">Myanmar Yangon</w:t>
      </w:r>
      <w:r>
        <w:t xml:space="preserve">, English proficiency is generally high among the business elite, government officials, and the educated middle class. Therefore, language is rarely a barrier. However, the dense, intellectual style of writing requires a high level of engagement. For quick, operational decision-making, the depth of analysis may sometimes be excessive compared to more concise local financial briefings.</w:t>
      </w:r>
    </w:p>
    <w:bookmarkEnd w:id="27"/>
    <w:bookmarkEnd w:id="28"/>
    <w:bookmarkStart w:id="29" w:name="X3191a9bbc5a4dab3bbf4a9914fe34ccb156f817"/>
    <w:p>
      <w:pPr>
        <w:pStyle w:val="Heading2"/>
      </w:pPr>
      <w:r>
        <w:t xml:space="preserve">5. Strategic Value for Specific Stakeholders in Yangon</w:t>
      </w:r>
    </w:p>
    <w:p>
      <w:pPr>
        <w:numPr>
          <w:ilvl w:val="0"/>
          <w:numId w:val="1002"/>
        </w:numPr>
        <w:pStyle w:val="Compact"/>
      </w:pPr>
      <w:r>
        <w:rPr>
          <w:bCs/>
          <w:b/>
        </w:rPr>
        <w:t xml:space="preserve">Foreign Investors:</w:t>
      </w:r>
      <w:r>
        <w:t xml:space="preserve"> </w:t>
      </w:r>
      <w:r>
        <w:t xml:space="preserve">For multinational corporations operating in Yangon,</w:t>
      </w:r>
      <w:r>
        <w:t xml:space="preserve"> </w:t>
      </w:r>
      <w:r>
        <w:rPr>
          <w:bCs/>
          <w:b/>
        </w:rPr>
        <w:t xml:space="preserve">The Economist</w:t>
      </w:r>
      <w:r>
        <w:t xml:space="preserve"> </w:t>
      </w:r>
      <w:r>
        <w:t xml:space="preserve">provides essential risk assessment data regarding geopolitical stability and global market trends that could affect repatriation of profits or supply chains.</w:t>
      </w:r>
    </w:p>
    <w:p>
      <w:pPr>
        <w:numPr>
          <w:ilvl w:val="0"/>
          <w:numId w:val="1002"/>
        </w:numPr>
        <w:pStyle w:val="Compact"/>
      </w:pPr>
      <w:r>
        <w:rPr>
          <w:bCs/>
          <w:b/>
        </w:rPr>
        <w:t xml:space="preserve">Local Entrepreneurs:</w:t>
      </w:r>
      <w:r>
        <w:t xml:space="preserve"> </w:t>
      </w:r>
      <w:r>
        <w:t xml:space="preserve">Small and medium-sized enterprises (SMEs) in Yangon can benefit from understanding global commodity price trends (e.g., oil, rice, textiles) which directly impact their cost of goods sold.</w:t>
      </w:r>
    </w:p>
    <w:p>
      <w:pPr>
        <w:numPr>
          <w:ilvl w:val="0"/>
          <w:numId w:val="1002"/>
        </w:numPr>
        <w:pStyle w:val="Compact"/>
      </w:pPr>
      <w:r>
        <w:rPr>
          <w:bCs/>
          <w:b/>
        </w:rPr>
        <w:t xml:space="preserve">Policy Makers and Think Tanks:</w:t>
      </w:r>
      <w:r>
        <w:t xml:space="preserve"> </w:t>
      </w:r>
      <w:r>
        <w:t xml:space="preserve">Researchers in Yangon can utilize the publication’s historical data and comparative economic models to benchmark Myanmar’s performance against other emerging markets in Southeast Asia.</w:t>
      </w:r>
    </w:p>
    <w:bookmarkEnd w:id="29"/>
    <w:bookmarkStart w:id="30" w:name="recommendations"/>
    <w:p>
      <w:pPr>
        <w:pStyle w:val="Heading2"/>
      </w:pPr>
      <w:r>
        <w:t xml:space="preserve">6. Recommendations</w:t>
      </w:r>
    </w:p>
    <w:p>
      <w:pPr>
        <w:pStyle w:val="FirstParagraph"/>
      </w:pPr>
      <w:r>
        <w:t xml:space="preserve">Based on this peer review, the following recommendations are made for stakeholders in</w:t>
      </w:r>
      <w:r>
        <w:t xml:space="preserve"> </w:t>
      </w:r>
      <w:r>
        <w:rPr>
          <w:bCs/>
          <w:b/>
        </w:rPr>
        <w:t xml:space="preserve">Myanmar Yangon</w:t>
      </w:r>
      <w:r>
        <w:t xml:space="preserve"> </w:t>
      </w:r>
      <w:r>
        <w:t xml:space="preserve">considering the use of</w:t>
      </w:r>
      <w:r>
        <w:t xml:space="preserve"> </w:t>
      </w:r>
      <w:r>
        <w:rPr>
          <w:bCs/>
          <w:b/>
        </w:rPr>
        <w:t xml:space="preserve">The Economist</w:t>
      </w:r>
      <w:r>
        <w:t xml:space="preserve">:</w:t>
      </w:r>
    </w:p>
    <w:p>
      <w:pPr>
        <w:numPr>
          <w:ilvl w:val="0"/>
          <w:numId w:val="1003"/>
        </w:numPr>
        <w:pStyle w:val="Compact"/>
      </w:pPr>
      <w:r>
        <w:rPr>
          <w:bCs/>
          <w:b/>
        </w:rPr>
        <w:t xml:space="preserve">Adopt a Hybrid Information Strategy:</w:t>
      </w:r>
      <w:r>
        <w:t xml:space="preserve"> </w:t>
      </w:r>
      <w:r>
        <w:t xml:space="preserve">Use</w:t>
      </w:r>
      <w:r>
        <w:t xml:space="preserve"> </w:t>
      </w:r>
      <w:r>
        <w:rPr>
          <w:bCs/>
          <w:b/>
        </w:rPr>
        <w:t xml:space="preserve">The Economist</w:t>
      </w:r>
      <w:r>
        <w:t xml:space="preserve"> </w:t>
      </w:r>
      <w:r>
        <w:t xml:space="preserve">for macro-level global and regional context, but pair it with local Myanmar financial news for micro-level operational data.</w:t>
      </w:r>
    </w:p>
    <w:p>
      <w:pPr>
        <w:numPr>
          <w:ilvl w:val="0"/>
          <w:numId w:val="1003"/>
        </w:numPr>
        <w:pStyle w:val="Compact"/>
      </w:pPr>
      <w:r>
        <w:rPr>
          <w:bCs/>
          <w:b/>
        </w:rPr>
        <w:t xml:space="preserve">Critical Consumption:</w:t>
      </w:r>
      <w:r>
        <w:t xml:space="preserve"> </w:t>
      </w:r>
      <w:r>
        <w:t xml:space="preserve">Readers should critically evaluate the editorial stance, recognizing the publication’s Western liberal perspective, especially when analyzing Myanmar’s internal political situation.</w:t>
      </w:r>
    </w:p>
    <w:p>
      <w:pPr>
        <w:numPr>
          <w:ilvl w:val="0"/>
          <w:numId w:val="1003"/>
        </w:numPr>
        <w:pStyle w:val="Compact"/>
      </w:pPr>
      <w:r>
        <w:rPr>
          <w:bCs/>
          <w:b/>
        </w:rPr>
        <w:t xml:space="preserve">Digital Subscription Priority:</w:t>
      </w:r>
      <w:r>
        <w:t xml:space="preserve"> </w:t>
      </w:r>
      <w:r>
        <w:t xml:space="preserve">Given the logistical challenges of physical distribution in Myanmar, stakeholders should prioritize digital access to ensure timely receipt of information.</w:t>
      </w:r>
    </w:p>
    <w:bookmarkEnd w:id="30"/>
    <w:bookmarkStart w:id="31" w:name="conclusion"/>
    <w:p>
      <w:pPr>
        <w:pStyle w:val="Heading2"/>
      </w:pPr>
      <w:r>
        <w:t xml:space="preserve">7. Conclusion</w:t>
      </w:r>
    </w:p>
    <w:p>
      <w:pPr>
        <w:pStyle w:val="FirstParagraph"/>
      </w:pPr>
      <w:r>
        <w:t xml:space="preserve">In conclusion,</w:t>
      </w:r>
      <w:r>
        <w:t xml:space="preserve"> </w:t>
      </w:r>
      <w:r>
        <w:rPr>
          <w:bCs/>
          <w:b/>
        </w:rPr>
        <w:t xml:space="preserve">The Economist</w:t>
      </w:r>
      <w:r>
        <w:t xml:space="preserve"> </w:t>
      </w:r>
      <w:r>
        <w:t xml:space="preserve">remains a vital resource for the informed professional in</w:t>
      </w:r>
      <w:r>
        <w:t xml:space="preserve"> </w:t>
      </w:r>
      <w:r>
        <w:rPr>
          <w:bCs/>
          <w:b/>
        </w:rPr>
        <w:t xml:space="preserve">Myanmar Yangon</w:t>
      </w:r>
      <w:r>
        <w:t xml:space="preserve">. While it does not replace the need for localized intelligence, its ability to decode complex global economic forces provides a strategic advantage. For any entity in Yangon seeking to navigate the intersection of local volatility and global stability, this publication offers the depth, rigor, and perspective necessary for informed decision-making.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Myanmar Yangon</dc:title>
  <dc:creator/>
  <dc:language>en</dc:language>
  <cp:keywords/>
  <dcterms:created xsi:type="dcterms:W3CDTF">2026-10-10T02:02:12Z</dcterms:created>
  <dcterms:modified xsi:type="dcterms:W3CDTF">2026-10-10T02:02:12Z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