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bookmarkStart w:id="26" w:name="peer-review-report-the-economist"/>
    <w:p>
      <w:pPr>
        <w:pStyle w:val="Heading1"/>
      </w:pPr>
      <w:r>
        <w:t xml:space="preserve">Peer Review Report: The Economist</w:t>
      </w:r>
    </w:p>
    <w:p>
      <w:pPr>
        <w:pStyle w:val="FirstParagraph"/>
      </w:pPr>
      <w:r>
        <w:rPr>
          <w:bCs/>
          <w:b/>
        </w:rPr>
        <w:t xml:space="preserve">Subject of Review:</w:t>
      </w:r>
      <w:r>
        <w:t xml:space="preserve"> </w:t>
      </w:r>
      <w:r>
        <w:t xml:space="preserve">The Economist (Publication and Digital Platform)</w:t>
      </w:r>
    </w:p>
    <w:p>
      <w:pPr>
        <w:pStyle w:val="BodyText"/>
      </w:pPr>
      <w:r>
        <w:rPr>
          <w:bCs/>
          <w:b/>
        </w:rPr>
        <w:t xml:space="preserve">Contextual Focus:</w:t>
      </w:r>
      <w:r>
        <w:t xml:space="preserve"> </w:t>
      </w:r>
      <w:r>
        <w:t xml:space="preserve">Relevance, Accuracy, and Accessibility within Russia Moscow</w:t>
      </w:r>
    </w:p>
    <w:p>
      <w:pPr>
        <w:pStyle w:val="BodyText"/>
      </w:pPr>
      <w:r>
        <w:rPr>
          <w:bCs/>
          <w:b/>
        </w:rPr>
        <w:t xml:space="preserve">Date of Review:</w:t>
      </w:r>
      <w:r>
        <w:t xml:space="preserve"> </w:t>
      </w:r>
      <w:r>
        <w:t xml:space="preserve">October 26, 2023</w:t>
      </w:r>
    </w:p>
    <w:p>
      <w:pPr>
        <w:pStyle w:val="BodyText"/>
      </w:pPr>
      <w:r>
        <w:rPr>
          <w:bCs/>
          <w:b/>
        </w:rPr>
        <w:t xml:space="preserve">Reviewer Panel:</w:t>
      </w:r>
      <w:r>
        <w:t xml:space="preserve"> </w:t>
      </w:r>
      <w:r>
        <w:t xml:space="preserve">International Business &amp; Geopolitical Analysis Group</w:t>
      </w:r>
    </w:p>
    <w:bookmarkStart w:id="20" w:name="executive-summary"/>
    <w:p>
      <w:pPr>
        <w:pStyle w:val="Heading2"/>
      </w:pPr>
      <w:r>
        <w:t xml:space="preserve">1. Executive Summary</w:t>
      </w:r>
    </w:p>
    <w:p>
      <w:pPr>
        <w:pStyle w:val="FirstParagraph"/>
      </w:pPr>
      <w:r>
        <w:t xml:space="preserve">This Peer Review Report provides a comprehensive evaluation of</w:t>
      </w:r>
      <w:r>
        <w:t xml:space="preserve"> </w:t>
      </w:r>
      <w:r>
        <w:rPr>
          <w:iCs/>
          <w:i/>
        </w:rPr>
        <w:t xml:space="preserve">The Economist</w:t>
      </w:r>
      <w:r>
        <w:t xml:space="preserve">, a globally recognized weekly news and international affairs publication. The primary objective of this review is to assess the publication's utility, editorial integrity, and operational status specifically for stakeholders, analysts, and business leaders operating within</w:t>
      </w:r>
      <w:r>
        <w:t xml:space="preserve"> </w:t>
      </w:r>
      <w:r>
        <w:rPr>
          <w:bCs/>
          <w:b/>
        </w:rPr>
        <w:t xml:space="preserve">Russia Moscow</w:t>
      </w:r>
      <w:r>
        <w:t xml:space="preserve">. Given the complex geopolitical landscape and the evolving regulatory environment in the Russian Federation, this report examines how</w:t>
      </w:r>
      <w:r>
        <w:t xml:space="preserve"> </w:t>
      </w:r>
      <w:r>
        <w:rPr>
          <w:iCs/>
          <w:i/>
        </w:rPr>
        <w:t xml:space="preserve">The Economist</w:t>
      </w:r>
      <w:r>
        <w:t xml:space="preserve"> </w:t>
      </w:r>
      <w:r>
        <w:t xml:space="preserve">serves as a critical information resource for understanding macroeconomic trends, political shifts, and global market dynamics affecting the Moscow region.</w:t>
      </w:r>
    </w:p>
    <w:bookmarkEnd w:id="20"/>
    <w:bookmarkStart w:id="21" w:name="editorial-integrity-and-analytical-depth"/>
    <w:p>
      <w:pPr>
        <w:pStyle w:val="Heading2"/>
      </w:pPr>
      <w:r>
        <w:t xml:space="preserve">2. Editorial Integrity and Analytical Depth</w:t>
      </w:r>
    </w:p>
    <w:p>
      <w:pPr>
        <w:pStyle w:val="FirstParagraph"/>
      </w:pPr>
      <w:r>
        <w:rPr>
          <w:iCs/>
          <w:i/>
        </w:rPr>
        <w:t xml:space="preserve">The Economist</w:t>
      </w:r>
      <w:r>
        <w:t xml:space="preserve"> </w:t>
      </w:r>
      <w:r>
        <w:t xml:space="preserve">has long been celebrated for its rigorous editorial standards and anonymous authorship model, which prioritizes institutional voice over individual celebrity. For professionals in</w:t>
      </w:r>
      <w:r>
        <w:t xml:space="preserve"> </w:t>
      </w:r>
      <w:r>
        <w:rPr>
          <w:bCs/>
          <w:b/>
        </w:rPr>
        <w:t xml:space="preserve">Russia Moscow</w:t>
      </w:r>
      <w:r>
        <w:t xml:space="preserve">, particularly those in finance, energy, and international trade, the publication offers unparalleled analytical depth. The review panel notes that the publication's coverage of global sanctions, energy markets, and supply chain disruptions is particularly pertinent to the current economic reality in Moscow.</w:t>
      </w:r>
    </w:p>
    <w:p>
      <w:pPr>
        <w:pStyle w:val="BodyText"/>
      </w:pPr>
      <w:r>
        <w:t xml:space="preserve">The publication’s ability to synthesize complex data into actionable insights is a key strength. In the context of</w:t>
      </w:r>
      <w:r>
        <w:t xml:space="preserve"> </w:t>
      </w:r>
      <w:r>
        <w:rPr>
          <w:bCs/>
          <w:b/>
        </w:rPr>
        <w:t xml:space="preserve">Russia Moscow</w:t>
      </w:r>
      <w:r>
        <w:t xml:space="preserve">, where information asymmetry can be high,</w:t>
      </w:r>
      <w:r>
        <w:t xml:space="preserve"> </w:t>
      </w:r>
      <w:r>
        <w:rPr>
          <w:iCs/>
          <w:i/>
        </w:rPr>
        <w:t xml:space="preserve">The Economist</w:t>
      </w:r>
      <w:r>
        <w:t xml:space="preserve"> </w:t>
      </w:r>
      <w:r>
        <w:t xml:space="preserve">provides a necessary external perspective. It contextualizes local events within the broader framework of global economics, allowing Moscow-based executives to anticipate international reactions to domestic policies. The peer review confirms that the publication maintains a high degree of factual accuracy, relying on primary data sources and expert interviews, which is essential for risk assessment in the current climate.</w:t>
      </w:r>
    </w:p>
    <w:bookmarkEnd w:id="21"/>
    <w:bookmarkStart w:id="22" w:name="relevance-to-the-russia-moscow-market"/>
    <w:p>
      <w:pPr>
        <w:pStyle w:val="Heading2"/>
      </w:pPr>
      <w:r>
        <w:t xml:space="preserve">3. Relevance to the Russia Moscow Market</w:t>
      </w:r>
    </w:p>
    <w:p>
      <w:pPr>
        <w:pStyle w:val="FirstParagraph"/>
      </w:pPr>
      <w:r>
        <w:t xml:space="preserve">The relevance of</w:t>
      </w:r>
      <w:r>
        <w:t xml:space="preserve"> </w:t>
      </w:r>
      <w:r>
        <w:rPr>
          <w:iCs/>
          <w:i/>
        </w:rPr>
        <w:t xml:space="preserve">The Economist</w:t>
      </w:r>
      <w:r>
        <w:t xml:space="preserve"> </w:t>
      </w:r>
      <w:r>
        <w:t xml:space="preserve">to the</w:t>
      </w:r>
      <w:r>
        <w:t xml:space="preserve"> </w:t>
      </w:r>
      <w:r>
        <w:rPr>
          <w:bCs/>
          <w:b/>
        </w:rPr>
        <w:t xml:space="preserve">Russia Moscow</w:t>
      </w:r>
      <w:r>
        <w:t xml:space="preserve"> </w:t>
      </w:r>
      <w:r>
        <w:t xml:space="preserve">demographic has intensified in recent years. As the global community responds to geopolitical developments, the publication serves as a barometer for international sentiment. For business leaders in Moscow, understanding the narrative constructed by Western media is crucial for strategic planning.</w:t>
      </w:r>
      <w:r>
        <w:t xml:space="preserve"> </w:t>
      </w:r>
      <w:r>
        <w:rPr>
          <w:iCs/>
          <w:i/>
        </w:rPr>
        <w:t xml:space="preserve">The Economist</w:t>
      </w:r>
      <w:r>
        <w:t xml:space="preserve"> </w:t>
      </w:r>
      <w:r>
        <w:t xml:space="preserve">does not merely report news; it analyzes the implications of policy decisions in Washington, Brussels, and London on the Russian economy.</w:t>
      </w:r>
    </w:p>
    <w:p>
      <w:pPr>
        <w:pStyle w:val="BodyText"/>
      </w:pPr>
      <w:r>
        <w:t xml:space="preserve">Specific sections, such as "The World This Week" and the "Finance &amp; Economics" section, are highly valued by Moscow-based analysts. These sections provide timely updates on currency fluctuations, inflation rates, and trade restrictions that directly impact operations in</w:t>
      </w:r>
      <w:r>
        <w:t xml:space="preserve"> </w:t>
      </w:r>
      <w:r>
        <w:rPr>
          <w:bCs/>
          <w:b/>
        </w:rPr>
        <w:t xml:space="preserve">Russia Moscow</w:t>
      </w:r>
      <w:r>
        <w:t xml:space="preserve">. Furthermore, the publication’s coverage of the energy sector is indispensable, given the historical reliance of the Russian economy on hydrocarbon exports. The peer review highlights that the publication’s foresight regarding energy transition and market volatility has proven accurate, offering valuable lessons for stakeholders in Moscow.</w:t>
      </w:r>
    </w:p>
    <w:bookmarkEnd w:id="22"/>
    <w:bookmarkStart w:id="23" w:name="accessibility-and-operational-challenges"/>
    <w:p>
      <w:pPr>
        <w:pStyle w:val="Heading2"/>
      </w:pPr>
      <w:r>
        <w:t xml:space="preserve">4. Accessibility and Operational Challenges</w:t>
      </w:r>
    </w:p>
    <w:p>
      <w:pPr>
        <w:pStyle w:val="FirstParagraph"/>
      </w:pPr>
      <w:r>
        <w:t xml:space="preserve">A critical aspect of this Peer Review Report is the assessment of accessibility. Following the suspension of its print edition in Russia,</w:t>
      </w:r>
      <w:r>
        <w:t xml:space="preserve"> </w:t>
      </w:r>
      <w:r>
        <w:rPr>
          <w:iCs/>
          <w:i/>
        </w:rPr>
        <w:t xml:space="preserve">The Economist</w:t>
      </w:r>
      <w:r>
        <w:t xml:space="preserve"> </w:t>
      </w:r>
      <w:r>
        <w:t xml:space="preserve">has transitioned to a digital-first model for its audience in</w:t>
      </w:r>
      <w:r>
        <w:t xml:space="preserve"> </w:t>
      </w:r>
      <w:r>
        <w:rPr>
          <w:bCs/>
          <w:b/>
        </w:rPr>
        <w:t xml:space="preserve">Russia Moscow</w:t>
      </w:r>
      <w:r>
        <w:t xml:space="preserve">. The review panel acknowledges that while digital access ensures continuity, it introduces challenges related to internet infrastructure and payment processing.</w:t>
      </w:r>
    </w:p>
    <w:p>
      <w:pPr>
        <w:pStyle w:val="BodyText"/>
      </w:pPr>
      <w:r>
        <w:t xml:space="preserve">Despite these hurdles, the digital platform remains robust. The mobile application and website are optimized for ease of use, allowing subscribers in Moscow to access content securely. The peer review notes that the publication has adapted its distribution strategies to ensure that its content remains available to those who require it for professional purposes. However, the reliance on digital access means that individuals with limited internet connectivity or those facing technical restrictions may find it more difficult to engage with the material compared to the pre-2022 era.</w:t>
      </w:r>
    </w:p>
    <w:bookmarkEnd w:id="23"/>
    <w:bookmarkStart w:id="24" w:name="bias-and-perspective-analysis"/>
    <w:p>
      <w:pPr>
        <w:pStyle w:val="Heading2"/>
      </w:pPr>
      <w:r>
        <w:t xml:space="preserve">5. Bias and Perspective Analysis</w:t>
      </w:r>
    </w:p>
    <w:p>
      <w:pPr>
        <w:pStyle w:val="FirstParagraph"/>
      </w:pPr>
      <w:r>
        <w:t xml:space="preserve">No publication is entirely free from bias, and</w:t>
      </w:r>
      <w:r>
        <w:t xml:space="preserve"> </w:t>
      </w:r>
      <w:r>
        <w:rPr>
          <w:iCs/>
          <w:i/>
        </w:rPr>
        <w:t xml:space="preserve">The Economist</w:t>
      </w:r>
      <w:r>
        <w:t xml:space="preserve"> </w:t>
      </w:r>
      <w:r>
        <w:t xml:space="preserve">is no exception. The peer review panel recognizes that the publication holds a distinct liberal, pro-market, and pro-globalization worldview. For readers in</w:t>
      </w:r>
      <w:r>
        <w:t xml:space="preserve"> </w:t>
      </w:r>
      <w:r>
        <w:rPr>
          <w:bCs/>
          <w:b/>
        </w:rPr>
        <w:t xml:space="preserve">Russia Moscow</w:t>
      </w:r>
      <w:r>
        <w:t xml:space="preserve">, this perspective is both a strength and a limitation. On one hand, it provides a clear, consistent framework for analyzing global events. On the other hand, it may not fully capture the nuances of domestic Russian political thought or the perspectives of non-Western allies.</w:t>
      </w:r>
    </w:p>
    <w:p>
      <w:pPr>
        <w:pStyle w:val="BodyText"/>
      </w:pPr>
      <w:r>
        <w:t xml:space="preserve">However, the publication’s transparency about its editorial stance allows readers to critically evaluate its content. For sophisticated audiences in Moscow, such as policymakers and senior executives, this transparency is valuable. It enables them to cross-reference</w:t>
      </w:r>
      <w:r>
        <w:t xml:space="preserve"> </w:t>
      </w:r>
      <w:r>
        <w:rPr>
          <w:iCs/>
          <w:i/>
        </w:rPr>
        <w:t xml:space="preserve">The Economist</w:t>
      </w:r>
      <w:r>
        <w:t xml:space="preserve">’s analysis with other sources to form a balanced view. The peer review concludes that while the publication’s bias is evident, it does not compromise its factual accuracy or its utility as a tool for understanding the international environment surrounding</w:t>
      </w:r>
      <w:r>
        <w:t xml:space="preserve"> </w:t>
      </w:r>
      <w:r>
        <w:rPr>
          <w:bCs/>
          <w:b/>
        </w:rPr>
        <w:t xml:space="preserve">Russia Moscow</w:t>
      </w:r>
      <w:r>
        <w:t xml:space="preserve">.</w:t>
      </w:r>
    </w:p>
    <w:bookmarkEnd w:id="24"/>
    <w:bookmarkStart w:id="25" w:name="conclusion-and-recommendations"/>
    <w:p>
      <w:pPr>
        <w:pStyle w:val="Heading2"/>
      </w:pPr>
      <w:r>
        <w:t xml:space="preserve">6. Conclusion and Recommendations</w:t>
      </w:r>
    </w:p>
    <w:p>
      <w:pPr>
        <w:pStyle w:val="FirstParagraph"/>
      </w:pPr>
      <w:r>
        <w:rPr>
          <w:bCs/>
          <w:b/>
        </w:rPr>
        <w:t xml:space="preserve">Final Verdict:</w:t>
      </w:r>
      <w:r>
        <w:t xml:space="preserve"> </w:t>
      </w:r>
      <w:r>
        <w:rPr>
          <w:iCs/>
          <w:i/>
        </w:rPr>
        <w:t xml:space="preserve">The Economist</w:t>
      </w:r>
      <w:r>
        <w:t xml:space="preserve"> </w:t>
      </w:r>
      <w:r>
        <w:t xml:space="preserve">remains an essential resource for professionals in</w:t>
      </w:r>
      <w:r>
        <w:t xml:space="preserve"> </w:t>
      </w:r>
      <w:r>
        <w:rPr>
          <w:bCs/>
          <w:b/>
        </w:rPr>
        <w:t xml:space="preserve">Russia Moscow</w:t>
      </w:r>
      <w:r>
        <w:t xml:space="preserve"> </w:t>
      </w:r>
      <w:r>
        <w:t xml:space="preserve">who require high-quality, in-depth analysis of global economic and political trends. Despite operational challenges and inherent editorial biases, its commitment to rigorous journalism and its ability to contextualize complex issues make it indispensable.</w:t>
      </w:r>
    </w:p>
    <w:p>
      <w:pPr>
        <w:pStyle w:val="BodyText"/>
      </w:pPr>
      <w:r>
        <w:rPr>
          <w:bCs/>
          <w:b/>
        </w:rPr>
        <w:t xml:space="preserve">Recommendations:</w:t>
      </w:r>
    </w:p>
    <w:p>
      <w:pPr>
        <w:numPr>
          <w:ilvl w:val="0"/>
          <w:numId w:val="1001"/>
        </w:numPr>
        <w:pStyle w:val="Compact"/>
      </w:pPr>
      <w:r>
        <w:rPr>
          <w:bCs/>
          <w:b/>
        </w:rPr>
        <w:t xml:space="preserve">For Business Leaders:</w:t>
      </w:r>
      <w:r>
        <w:t xml:space="preserve"> </w:t>
      </w:r>
      <w:r>
        <w:t xml:space="preserve">Continue to utilize</w:t>
      </w:r>
      <w:r>
        <w:t xml:space="preserve"> </w:t>
      </w:r>
      <w:r>
        <w:rPr>
          <w:iCs/>
          <w:i/>
        </w:rPr>
        <w:t xml:space="preserve">The Economist</w:t>
      </w:r>
      <w:r>
        <w:t xml:space="preserve"> </w:t>
      </w:r>
      <w:r>
        <w:t xml:space="preserve">as a primary source for understanding international market sentiment and regulatory changes affecting operations in Moscow.</w:t>
      </w:r>
    </w:p>
    <w:p>
      <w:pPr>
        <w:numPr>
          <w:ilvl w:val="0"/>
          <w:numId w:val="1001"/>
        </w:numPr>
        <w:pStyle w:val="Compact"/>
      </w:pPr>
      <w:r>
        <w:rPr>
          <w:bCs/>
          <w:b/>
        </w:rPr>
        <w:t xml:space="preserve">For Analysts:</w:t>
      </w:r>
      <w:r>
        <w:t xml:space="preserve"> </w:t>
      </w:r>
      <w:r>
        <w:t xml:space="preserve">Use the publication’s data and forecasts as a baseline for risk assessment, while cross-referencing with local sources to account for domestic nuances.</w:t>
      </w:r>
    </w:p>
    <w:p>
      <w:pPr>
        <w:numPr>
          <w:ilvl w:val="0"/>
          <w:numId w:val="1001"/>
        </w:numPr>
        <w:pStyle w:val="Compact"/>
      </w:pPr>
      <w:r>
        <w:rPr>
          <w:bCs/>
          <w:b/>
        </w:rPr>
        <w:t xml:space="preserve">For Institutions:</w:t>
      </w:r>
      <w:r>
        <w:t xml:space="preserve"> </w:t>
      </w:r>
      <w:r>
        <w:t xml:space="preserve">Maintain institutional subscriptions to ensure that teams in</w:t>
      </w:r>
      <w:r>
        <w:t xml:space="preserve"> </w:t>
      </w:r>
      <w:r>
        <w:rPr>
          <w:bCs/>
          <w:b/>
        </w:rPr>
        <w:t xml:space="preserve">Russia Moscow</w:t>
      </w:r>
      <w:r>
        <w:t xml:space="preserve"> </w:t>
      </w:r>
      <w:r>
        <w:t xml:space="preserve">have uninterrupted access to critical global intelligence.</w:t>
      </w:r>
    </w:p>
    <w:p>
      <w:pPr>
        <w:pStyle w:val="FirstParagraph"/>
      </w:pPr>
      <w:r>
        <w:t xml:space="preserve">Prepared by the International Business &amp; Geopolitical Analysis Group.</w:t>
      </w:r>
      <w:r>
        <w:br/>
      </w:r>
      <w:r>
        <w:t xml:space="preserve">This Peer Review Report is intended for informational purposes and reflects the consensus of the review panel as of the date indicated.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the Context of Russia Moscow</dc:title>
  <dc:creator/>
  <dc:language>en</dc:language>
  <cp:keywords/>
  <dcterms:created xsi:type="dcterms:W3CDTF">2026-10-10T08:14:00Z</dcterms:created>
  <dcterms:modified xsi:type="dcterms:W3CDTF">2026-10-10T08:14:00Z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