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New</w:t>
      </w:r>
      <w:r>
        <w:t xml:space="preserve"> </w:t>
      </w:r>
      <w:r>
        <w:t xml:space="preserve">York</w:t>
      </w:r>
      <w:r>
        <w:t xml:space="preserve"> </w:t>
      </w:r>
      <w:r>
        <w:t xml:space="preserve">City</w:t>
      </w:r>
      <w:r>
        <w:t xml:space="preserve"> </w:t>
      </w:r>
      <w:r>
        <w:t xml:space="preserve">Edition</w:t>
      </w:r>
    </w:p>
    <w:bookmarkStart w:id="27" w:name="peer-review-report"/>
    <w:p>
      <w:pPr>
        <w:pStyle w:val="Heading1"/>
      </w:pPr>
      <w:r>
        <w:t xml:space="preserve">Peer Review Report</w:t>
      </w:r>
    </w:p>
    <w:p>
      <w:pPr>
        <w:pStyle w:val="FirstParagraph"/>
      </w:pPr>
      <w:r>
        <w:rPr>
          <w:bCs/>
          <w:b/>
        </w:rPr>
        <w:t xml:space="preserve">Subject:</w:t>
      </w:r>
      <w:r>
        <w:t xml:space="preserve"> </w:t>
      </w:r>
      <w:r>
        <w:t xml:space="preserve">The Economist</w:t>
      </w:r>
      <w:r>
        <w:br/>
      </w:r>
      <w:r>
        <w:rPr>
          <w:bCs/>
          <w:b/>
        </w:rPr>
        <w:t xml:space="preserve">Location of Analysis:</w:t>
      </w:r>
      <w:r>
        <w:t xml:space="preserve"> </w:t>
      </w:r>
      <w:r>
        <w:t xml:space="preserve">United States, New York City</w:t>
      </w:r>
      <w:r>
        <w:br/>
      </w:r>
      <w:r>
        <w:rPr>
          <w:bCs/>
          <w:b/>
        </w:rPr>
        <w:t xml:space="preserve">Date:</w:t>
      </w:r>
      <w:r>
        <w:t xml:space="preserve"> </w:t>
      </w:r>
      <w:r>
        <w:t xml:space="preserve">October 26, 2023</w:t>
      </w:r>
      <w:r>
        <w:br/>
      </w:r>
      <w:r>
        <w:rPr>
          <w:bCs/>
          <w:b/>
        </w:rPr>
        <w:t xml:space="preserve">Reviewer ID:</w:t>
      </w:r>
      <w:r>
        <w:t xml:space="preserve"> </w:t>
      </w:r>
      <w:r>
        <w:t xml:space="preserve">NYC-ECO-2023-09</w:t>
      </w:r>
      <w:r>
        <w:br/>
      </w:r>
      <w:r>
        <w:rPr>
          <w:bCs/>
          <w:b/>
        </w:rPr>
        <w:t xml:space="preserve">Classification:</w:t>
      </w:r>
      <w:r>
        <w:t xml:space="preserve"> </w:t>
      </w:r>
      <w:r>
        <w:t xml:space="preserve">Public Interest / Media Analysis</w:t>
      </w:r>
    </w:p>
    <w:p>
      <w:pPr>
        <w:pStyle w:val="BodyText"/>
      </w:pPr>
      <w:r>
        <w:t xml:space="preserve">This</w:t>
      </w:r>
      <w:r>
        <w:t xml:space="preserve"> </w:t>
      </w:r>
      <w:r>
        <w:rPr>
          <w:bCs/>
          <w:b/>
        </w:rPr>
        <w:t xml:space="preserve">Peer Review Report</w:t>
      </w:r>
      <w:r>
        <w:t xml:space="preserve"> </w:t>
      </w:r>
      <w:r>
        <w:t xml:space="preserve">provides a comprehensive evaluation of the publication known as</w:t>
      </w:r>
      <w:r>
        <w:t xml:space="preserve"> </w:t>
      </w:r>
      <w:r>
        <w:rPr>
          <w:bCs/>
          <w:b/>
        </w:rPr>
        <w:t xml:space="preserve">The Economist</w:t>
      </w:r>
      <w:r>
        <w:t xml:space="preserve">, specifically analyzing its relevance, editorial stance, and market positioning within the context of</w:t>
      </w:r>
      <w:r>
        <w:t xml:space="preserve"> </w:t>
      </w:r>
      <w:r>
        <w:rPr>
          <w:bCs/>
          <w:b/>
        </w:rPr>
        <w:t xml:space="preserve">United States New York City</w:t>
      </w:r>
      <w:r>
        <w:t xml:space="preserve">. As the global hub of finance, media, and policy, New York City serves as a critical testing ground for international news organizations. This review assesses how effectively</w:t>
      </w:r>
      <w:r>
        <w:t xml:space="preserve"> </w:t>
      </w:r>
      <w:r>
        <w:rPr>
          <w:bCs/>
          <w:b/>
        </w:rPr>
        <w:t xml:space="preserve">The Economist</w:t>
      </w:r>
      <w:r>
        <w:t xml:space="preserve"> </w:t>
      </w:r>
      <w:r>
        <w:t xml:space="preserve">serves the intellectual and professional needs of its readership in this specific metropolitan environment.</w:t>
      </w:r>
    </w:p>
    <w:bookmarkStart w:id="20" w:name="executive-summary"/>
    <w:p>
      <w:pPr>
        <w:pStyle w:val="Heading2"/>
      </w:pPr>
      <w:r>
        <w:t xml:space="preserve">1. Executive Summary</w:t>
      </w:r>
    </w:p>
    <w:p>
      <w:pPr>
        <w:pStyle w:val="FirstParagraph"/>
      </w:pPr>
      <w:r>
        <w:rPr>
          <w:bCs/>
          <w:b/>
        </w:rPr>
        <w:t xml:space="preserve">The Economist</w:t>
      </w:r>
      <w:r>
        <w:t xml:space="preserve"> </w:t>
      </w:r>
      <w:r>
        <w:t xml:space="preserve">remains a cornerstone of high-level journalism, particularly for the demographic found in</w:t>
      </w:r>
      <w:r>
        <w:t xml:space="preserve"> </w:t>
      </w:r>
      <w:r>
        <w:rPr>
          <w:bCs/>
          <w:b/>
        </w:rPr>
        <w:t xml:space="preserve">United States New York City</w:t>
      </w:r>
      <w:r>
        <w:t xml:space="preserve">. This</w:t>
      </w:r>
      <w:r>
        <w:t xml:space="preserve"> </w:t>
      </w:r>
      <w:r>
        <w:rPr>
          <w:bCs/>
          <w:b/>
        </w:rPr>
        <w:t xml:space="preserve">Peer Review Report</w:t>
      </w:r>
      <w:r>
        <w:t xml:space="preserve"> </w:t>
      </w:r>
      <w:r>
        <w:t xml:space="preserve">concludes that the publication maintains a high standard of analytical rigor. However, its British-centric origins occasionally create a friction point with the specific political and cultural nuances of the American market. Despite this, its coverage of global markets, geopolitics, and technology is indispensable for the professional class in New York.</w:t>
      </w:r>
    </w:p>
    <w:bookmarkEnd w:id="20"/>
    <w:bookmarkStart w:id="21" w:name="editorial-quality-and-analytical-depth"/>
    <w:p>
      <w:pPr>
        <w:pStyle w:val="Heading2"/>
      </w:pPr>
      <w:r>
        <w:t xml:space="preserve">2. Editorial Quality and Analytical Depth</w:t>
      </w:r>
    </w:p>
    <w:p>
      <w:pPr>
        <w:pStyle w:val="FirstParagraph"/>
      </w:pPr>
      <w:r>
        <w:t xml:space="preserve">In the fast-paced information ecosystem of</w:t>
      </w:r>
      <w:r>
        <w:t xml:space="preserve"> </w:t>
      </w:r>
      <w:r>
        <w:rPr>
          <w:bCs/>
          <w:b/>
        </w:rPr>
        <w:t xml:space="preserve">United States New York City</w:t>
      </w:r>
      <w:r>
        <w:t xml:space="preserve">, where Wall Street traders and Manhattan policymakers require precise data,</w:t>
      </w:r>
      <w:r>
        <w:t xml:space="preserve"> </w:t>
      </w:r>
      <w:r>
        <w:rPr>
          <w:bCs/>
          <w:b/>
        </w:rPr>
        <w:t xml:space="preserve">The Economist</w:t>
      </w:r>
      <w:r>
        <w:t xml:space="preserve"> </w:t>
      </w:r>
      <w:r>
        <w:t xml:space="preserve">excels. The publication’s refusal to attribute articles to individual authors fosters a collective editorial voice that prioritizes institutional integrity over celebrity journalism.</w:t>
      </w:r>
    </w:p>
    <w:p>
      <w:pPr>
        <w:pStyle w:val="BodyText"/>
      </w:pPr>
      <w:r>
        <w:t xml:space="preserve">For the New York reader, the "Leaders" section offers a distinct value proposition. Unlike local New York tabloids or partisan American outlets,</w:t>
      </w:r>
      <w:r>
        <w:t xml:space="preserve"> </w:t>
      </w:r>
      <w:r>
        <w:rPr>
          <w:bCs/>
          <w:b/>
        </w:rPr>
        <w:t xml:space="preserve">The Economist</w:t>
      </w:r>
      <w:r>
        <w:t xml:space="preserve"> </w:t>
      </w:r>
      <w:r>
        <w:t xml:space="preserve">provides a detached, liberal-internationalist perspective. This</w:t>
      </w:r>
      <w:r>
        <w:t xml:space="preserve"> </w:t>
      </w:r>
      <w:r>
        <w:rPr>
          <w:bCs/>
          <w:b/>
        </w:rPr>
        <w:t xml:space="preserve">Peer Review Report</w:t>
      </w:r>
      <w:r>
        <w:t xml:space="preserve"> </w:t>
      </w:r>
      <w:r>
        <w:t xml:space="preserve">notes that this perspective is highly valued by New York’s cosmopolitan elite, who often seek a worldview that transcends the binary nature of American domestic politics. The analytical depth regarding the Federal Reserve’s policies, often discussed in the financial districts of New York, is particularly robust.</w:t>
      </w:r>
    </w:p>
    <w:bookmarkEnd w:id="21"/>
    <w:bookmarkStart w:id="22" w:name="relevance-to-the-new-york-city-market"/>
    <w:p>
      <w:pPr>
        <w:pStyle w:val="Heading2"/>
      </w:pPr>
      <w:r>
        <w:t xml:space="preserve">3. Relevance to the New York City Market</w:t>
      </w:r>
    </w:p>
    <w:p>
      <w:pPr>
        <w:pStyle w:val="FirstParagraph"/>
      </w:pPr>
      <w:r>
        <w:t xml:space="preserve">The intersection of</w:t>
      </w:r>
      <w:r>
        <w:t xml:space="preserve"> </w:t>
      </w:r>
      <w:r>
        <w:rPr>
          <w:bCs/>
          <w:b/>
        </w:rPr>
        <w:t xml:space="preserve">The Economist</w:t>
      </w:r>
      <w:r>
        <w:t xml:space="preserve"> </w:t>
      </w:r>
      <w:r>
        <w:t xml:space="preserve">and</w:t>
      </w:r>
      <w:r>
        <w:t xml:space="preserve"> </w:t>
      </w:r>
      <w:r>
        <w:rPr>
          <w:bCs/>
          <w:b/>
        </w:rPr>
        <w:t xml:space="preserve">United States New York City</w:t>
      </w:r>
      <w:r>
        <w:t xml:space="preserve"> </w:t>
      </w:r>
      <w:r>
        <w:t xml:space="preserve">is defined by the city's role as a global capital. The publication’s coverage of international trade, immigration, and urban planning resonates deeply with New York’s diverse population.</w:t>
      </w:r>
    </w:p>
    <w:p>
      <w:pPr>
        <w:numPr>
          <w:ilvl w:val="0"/>
          <w:numId w:val="1001"/>
        </w:numPr>
        <w:pStyle w:val="Compact"/>
      </w:pPr>
      <w:r>
        <w:rPr>
          <w:bCs/>
          <w:b/>
        </w:rPr>
        <w:t xml:space="preserve">Financial Sector Alignment:</w:t>
      </w:r>
      <w:r>
        <w:t xml:space="preserve"> </w:t>
      </w:r>
      <w:r>
        <w:t xml:space="preserve">The publication’s focus on macroeconomics aligns perfectly with the interests of professionals in the Financial District. The data visualization and economic forecasting are considered industry standards.</w:t>
      </w:r>
    </w:p>
    <w:p>
      <w:pPr>
        <w:numPr>
          <w:ilvl w:val="0"/>
          <w:numId w:val="1001"/>
        </w:numPr>
        <w:pStyle w:val="Compact"/>
      </w:pPr>
      <w:r>
        <w:rPr>
          <w:bCs/>
          <w:b/>
        </w:rPr>
        <w:t xml:space="preserve">Urban Policy:</w:t>
      </w:r>
      <w:r>
        <w:t xml:space="preserve"> </w:t>
      </w:r>
      <w:r>
        <w:t xml:space="preserve">New York City faces unique challenges regarding housing, transit, and density.</w:t>
      </w:r>
      <w:r>
        <w:t xml:space="preserve"> </w:t>
      </w:r>
      <w:r>
        <w:rPr>
          <w:bCs/>
          <w:b/>
        </w:rPr>
        <w:t xml:space="preserve">The Economist</w:t>
      </w:r>
      <w:r>
        <w:t xml:space="preserve"> </w:t>
      </w:r>
      <w:r>
        <w:t xml:space="preserve">frequently publishes comparative analyses of global cities, offering New York policymakers and urbanists valuable benchmarks against London, Tokyo, and Singapore.</w:t>
      </w:r>
    </w:p>
    <w:p>
      <w:pPr>
        <w:numPr>
          <w:ilvl w:val="0"/>
          <w:numId w:val="1001"/>
        </w:numPr>
        <w:pStyle w:val="Compact"/>
      </w:pPr>
      <w:r>
        <w:rPr>
          <w:bCs/>
          <w:b/>
        </w:rPr>
        <w:t xml:space="preserve">Cultural Commentary:</w:t>
      </w:r>
      <w:r>
        <w:t xml:space="preserve"> </w:t>
      </w:r>
      <w:r>
        <w:t xml:space="preserve">The "Culture" section provides a sophisticated critique of arts and literature that appeals to the educated readership of Manhattan and Brooklyn.</w:t>
      </w:r>
    </w:p>
    <w:bookmarkEnd w:id="22"/>
    <w:bookmarkStart w:id="23" w:name="critical-assessment-and-limitations"/>
    <w:p>
      <w:pPr>
        <w:pStyle w:val="Heading2"/>
      </w:pPr>
      <w:r>
        <w:t xml:space="preserve">4. Critical Assessment and Limitations</w:t>
      </w:r>
    </w:p>
    <w:p>
      <w:pPr>
        <w:pStyle w:val="FirstParagraph"/>
      </w:pPr>
      <w:r>
        <w:t xml:space="preserve">While this</w:t>
      </w:r>
      <w:r>
        <w:t xml:space="preserve"> </w:t>
      </w:r>
      <w:r>
        <w:rPr>
          <w:bCs/>
          <w:b/>
        </w:rPr>
        <w:t xml:space="preserve">Peer Review Report</w:t>
      </w:r>
      <w:r>
        <w:t xml:space="preserve"> </w:t>
      </w:r>
      <w:r>
        <w:t xml:space="preserve">acknowledges the high quality of</w:t>
      </w:r>
      <w:r>
        <w:t xml:space="preserve"> </w:t>
      </w:r>
      <w:r>
        <w:rPr>
          <w:bCs/>
          <w:b/>
        </w:rPr>
        <w:t xml:space="preserve">The Economist</w:t>
      </w:r>
      <w:r>
        <w:t xml:space="preserve">, it must also highlight limitations relevant to the</w:t>
      </w:r>
      <w:r>
        <w:t xml:space="preserve"> </w:t>
      </w:r>
      <w:r>
        <w:rPr>
          <w:bCs/>
          <w:b/>
        </w:rPr>
        <w:t xml:space="preserve">United States New York City</w:t>
      </w:r>
      <w:r>
        <w:t xml:space="preserve"> </w:t>
      </w:r>
      <w:r>
        <w:t xml:space="preserve">audience.</w:t>
      </w:r>
    </w:p>
    <w:p>
      <w:pPr>
        <w:pStyle w:val="BodyText"/>
      </w:pPr>
      <w:r>
        <w:t xml:space="preserve">First, the publication’s British identity can sometimes lead to a lack of nuance regarding American domestic issues. While the global perspective is a strength, local New York readers may find the coverage of U.S. state-level politics or specific municipal issues in New York to be secondary to global events. Second, the subscription cost is high, which may limit accessibility for a broader segment of the New York population, reinforcing its status as a publication for the elite.</w:t>
      </w:r>
    </w:p>
    <w:bookmarkEnd w:id="23"/>
    <w:bookmarkStart w:id="24" w:name="digital-presence-and-accessibility"/>
    <w:p>
      <w:pPr>
        <w:pStyle w:val="Heading2"/>
      </w:pPr>
      <w:r>
        <w:t xml:space="preserve">5. Digital Presence and Accessibility</w:t>
      </w:r>
    </w:p>
    <w:p>
      <w:pPr>
        <w:pStyle w:val="FirstParagraph"/>
      </w:pPr>
      <w:r>
        <w:t xml:space="preserve">In a city like New York, where digital consumption is paramount,</w:t>
      </w:r>
      <w:r>
        <w:t xml:space="preserve"> </w:t>
      </w:r>
      <w:r>
        <w:rPr>
          <w:bCs/>
          <w:b/>
        </w:rPr>
        <w:t xml:space="preserve">The Economist</w:t>
      </w:r>
      <w:r>
        <w:t xml:space="preserve"> </w:t>
      </w:r>
      <w:r>
        <w:t xml:space="preserve">has successfully transitioned to a digital-first model. The mobile application is widely used by commuters on the New York City subway system. The integration of audio editions allows professionals to consume content during their daily transit, a crucial feature for the time-poor demographic in</w:t>
      </w:r>
      <w:r>
        <w:t xml:space="preserve"> </w:t>
      </w:r>
      <w:r>
        <w:rPr>
          <w:bCs/>
          <w:b/>
        </w:rPr>
        <w:t xml:space="preserve">United States New York City</w:t>
      </w:r>
      <w:r>
        <w:t xml:space="preserve">.</w:t>
      </w:r>
    </w:p>
    <w:bookmarkEnd w:id="24"/>
    <w:bookmarkStart w:id="25" w:name="scoring-and-evaluation"/>
    <w:p>
      <w:pPr>
        <w:pStyle w:val="Heading2"/>
      </w:pPr>
      <w:r>
        <w:t xml:space="preserve">6. Scoring and Evaluation</w:t>
      </w:r>
    </w:p>
    <w:p>
      <w:pPr>
        <w:pStyle w:val="FirstParagraph"/>
      </w:pPr>
      <w:r>
        <w:t xml:space="preserve">Journalistic Integrity:</w:t>
      </w:r>
      <w:r>
        <w:t xml:space="preserve"> </w:t>
      </w:r>
      <w:r>
        <w:t xml:space="preserve">9.5 / 10</w:t>
      </w:r>
    </w:p>
    <w:p>
      <w:pPr>
        <w:pStyle w:val="BodyText"/>
      </w:pPr>
      <w:r>
        <w:t xml:space="preserve">Relevance to NYC Professionals:</w:t>
      </w:r>
      <w:r>
        <w:t xml:space="preserve"> </w:t>
      </w:r>
      <w:r>
        <w:t xml:space="preserve">9.0 / 10</w:t>
      </w:r>
    </w:p>
    <w:p>
      <w:pPr>
        <w:pStyle w:val="BodyText"/>
      </w:pPr>
      <w:r>
        <w:t xml:space="preserve">Local US Contextualization:</w:t>
      </w:r>
      <w:r>
        <w:t xml:space="preserve"> </w:t>
      </w:r>
      <w:r>
        <w:t xml:space="preserve">7.5 / 10</w:t>
      </w:r>
    </w:p>
    <w:p>
      <w:pPr>
        <w:pStyle w:val="BodyText"/>
      </w:pPr>
      <w:r>
        <w:t xml:space="preserve">Digital User Experience:</w:t>
      </w:r>
      <w:r>
        <w:t xml:space="preserve"> </w:t>
      </w:r>
      <w:r>
        <w:t xml:space="preserve">8.5 / 10</w:t>
      </w:r>
    </w:p>
    <w:p>
      <w:pPr>
        <w:pStyle w:val="BodyText"/>
      </w:pPr>
      <w:r>
        <w:t xml:space="preserve">Overall Peer Review Rating:</w:t>
      </w:r>
      <w:r>
        <w:t xml:space="preserve"> </w:t>
      </w:r>
      <w:r>
        <w:t xml:space="preserve">8.6 / 10</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affirms that</w:t>
      </w:r>
      <w:r>
        <w:t xml:space="preserve"> </w:t>
      </w:r>
      <w:r>
        <w:rPr>
          <w:bCs/>
          <w:b/>
        </w:rPr>
        <w:t xml:space="preserve">The Economist</w:t>
      </w:r>
      <w:r>
        <w:t xml:space="preserve"> </w:t>
      </w:r>
      <w:r>
        <w:t xml:space="preserve">is an essential resource for the informed citizen and professional in</w:t>
      </w:r>
      <w:r>
        <w:t xml:space="preserve"> </w:t>
      </w:r>
      <w:r>
        <w:rPr>
          <w:bCs/>
          <w:b/>
        </w:rPr>
        <w:t xml:space="preserve">United States New York City</w:t>
      </w:r>
      <w:r>
        <w:t xml:space="preserve">. Its ability to synthesize complex global events into concise, actionable intelligence makes it a vital tool for navigating the modern world. While it may lack the hyper-local focus of New York-specific publications, its global scope provides the broader context necessary for decision-making in a global city. It is recommended that institutions, universities, and professionals in New York City maintain subscriptions to ensure access to this high-caliber analysis.</w:t>
      </w:r>
    </w:p>
    <w:p>
      <w:pPr>
        <w:pStyle w:val="BodyText"/>
      </w:pPr>
      <w:r>
        <w:rPr>
          <w:bCs/>
          <w:b/>
        </w:rPr>
        <w:t xml:space="preserve">Prepared by:</w:t>
      </w:r>
      <w:r>
        <w:br/>
      </w:r>
      <w:r>
        <w:t xml:space="preserve">Independent Media Review Board</w:t>
      </w:r>
      <w:r>
        <w:br/>
      </w:r>
      <w:r>
        <w:t xml:space="preserve">New York City Chapter</w:t>
      </w:r>
      <w:r>
        <w:br/>
      </w: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New York City Edition</dc:title>
  <dc:creator/>
  <dc:language>en</dc:language>
  <cp:keywords/>
  <dcterms:created xsi:type="dcterms:W3CDTF">2026-10-10T08:15:32Z</dcterms:created>
  <dcterms:modified xsi:type="dcterms:W3CDTF">2026-10-10T08:15:32Z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