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r>
        <w:t xml:space="preserve"> </w:t>
      </w:r>
      <w:r>
        <w:t xml:space="preserve">for</w:t>
      </w:r>
      <w:r>
        <w:t xml:space="preserve"> </w:t>
      </w:r>
      <w:r>
        <w:t xml:space="preserve">Germany</w:t>
      </w:r>
      <w:r>
        <w:t xml:space="preserve"> </w:t>
      </w:r>
      <w:r>
        <w:t xml:space="preserve">Berlin</w:t>
      </w:r>
    </w:p>
    <w:bookmarkStart w:id="20" w:name="Xb52320fb380dd6d74bfd13b466c9c6de948efc8"/>
    <w:p>
      <w:pPr>
        <w:pStyle w:val="Heading1"/>
      </w:pPr>
      <w:r>
        <w:t xml:space="preserve">Peer Review Report: Evaluation of Editor for Use in Germany Berlin</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p>
      <w:pPr>
        <w:pStyle w:val="BodyText"/>
      </w:pPr>
      <w:r>
        <w:rPr>
          <w:bCs/>
          <w:b/>
        </w:rPr>
        <w:t xml:space="preserve">Subject:</w:t>
      </w:r>
      <w:r>
        <w:t xml:space="preserve"> </w:t>
      </w:r>
      <w:r>
        <w:t xml:space="preserve">Comprehensive assessment of the Editor tool for deployment in Germany Berlin</w:t>
      </w:r>
    </w:p>
    <w:bookmarkEnd w:id="20"/>
    <w:bookmarkStart w:id="21" w:name="introduction"/>
    <w:p>
      <w:pPr>
        <w:pStyle w:val="Heading2"/>
      </w:pPr>
      <w:r>
        <w:t xml:space="preserve">1. Introduction</w:t>
      </w:r>
    </w:p>
    <w:p>
      <w:pPr>
        <w:pStyle w:val="FirstParagraph"/>
      </w:pPr>
      <w:r>
        <w:t xml:space="preserve">This Peer Review Report provides a detailed evaluation of the Editor software intended for use in Germany Berlin. The purpose of this review is to assess the Editor's functionality, usability, compliance with local regulations, and suitability for the specific needs of users in Germany Berlin. The review was conducted by a panel of experts with experience in software evaluation, localization, and regulatory compliance.</w:t>
      </w:r>
    </w:p>
    <w:p>
      <w:pPr>
        <w:pStyle w:val="BodyText"/>
      </w:pPr>
      <w:r>
        <w:t xml:space="preserve">The Editor is a digital tool designed to facilitate content creation, editing, and management. Its deployment in Germany Berlin requires careful consideration of linguistic, cultural, and legal factors unique to the region. This report outlines the findings of the review, including strengths, weaknesses, and recommendations for improvement.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aspects of the Editor:</w:t>
      </w:r>
    </w:p>
    <w:p>
      <w:pPr>
        <w:numPr>
          <w:ilvl w:val="0"/>
          <w:numId w:val="1001"/>
        </w:numPr>
        <w:pStyle w:val="Compact"/>
      </w:pPr>
      <w:r>
        <w:t xml:space="preserve">Functionality and performance</w:t>
      </w:r>
    </w:p>
    <w:p>
      <w:pPr>
        <w:numPr>
          <w:ilvl w:val="0"/>
          <w:numId w:val="1001"/>
        </w:numPr>
        <w:pStyle w:val="Compact"/>
      </w:pPr>
      <w:r>
        <w:t xml:space="preserve">User interface and experience (UI/UX)</w:t>
      </w:r>
    </w:p>
    <w:p>
      <w:pPr>
        <w:numPr>
          <w:ilvl w:val="0"/>
          <w:numId w:val="1001"/>
        </w:numPr>
        <w:pStyle w:val="Compact"/>
      </w:pPr>
      <w:r>
        <w:t xml:space="preserve">Localization for Germany Berlin</w:t>
      </w:r>
    </w:p>
    <w:p>
      <w:pPr>
        <w:numPr>
          <w:ilvl w:val="0"/>
          <w:numId w:val="1001"/>
        </w:numPr>
        <w:pStyle w:val="Compact"/>
      </w:pPr>
      <w:r>
        <w:t xml:space="preserve">Compliance with German and European regulations</w:t>
      </w:r>
    </w:p>
    <w:p>
      <w:pPr>
        <w:numPr>
          <w:ilvl w:val="0"/>
          <w:numId w:val="1001"/>
        </w:numPr>
        <w:pStyle w:val="Compact"/>
      </w:pPr>
      <w:r>
        <w:t xml:space="preserve">Security and data protection</w:t>
      </w:r>
    </w:p>
    <w:p>
      <w:pPr>
        <w:numPr>
          <w:ilvl w:val="0"/>
          <w:numId w:val="1001"/>
        </w:numPr>
        <w:pStyle w:val="Compact"/>
      </w:pPr>
      <w:r>
        <w:t xml:space="preserve">Integration with existing systems</w:t>
      </w:r>
    </w:p>
    <w:p>
      <w:pPr>
        <w:pStyle w:val="FirstParagraph"/>
      </w:pPr>
      <w:r>
        <w:t xml:space="preserve">The review was conducted through a combination of hands-on testing, user feedback analysis, and regulatory compliance checks.</w:t>
      </w:r>
    </w:p>
    <w:bookmarkEnd w:id="22"/>
    <w:bookmarkStart w:id="23" w:name="functionality-and-performance"/>
    <w:p>
      <w:pPr>
        <w:pStyle w:val="Heading2"/>
      </w:pPr>
      <w:r>
        <w:t xml:space="preserve">3. Functionality and Performance</w:t>
      </w:r>
    </w:p>
    <w:p>
      <w:pPr>
        <w:pStyle w:val="FirstParagraph"/>
      </w:pPr>
      <w:r>
        <w:t xml:space="preserve">The Editor demonstrates robust functionality, offering a wide range of tools for content creation and editing. Key features include text formatting, multimedia integration, version control, and collaboration capabilities. Performance testing revealed that the Editor operates efficiently, with minimal latency even when handling large files or multiple concurrent users.</w:t>
      </w:r>
    </w:p>
    <w:p>
      <w:pPr>
        <w:pStyle w:val="BodyText"/>
      </w:pPr>
      <w:r>
        <w:t xml:space="preserve">However, some areas require improvement. For instance, the search function could be optimized to provide faster and more accurate results. Additionally, the Editor's handling of complex documents with embedded objects occasionally leads to minor glitches, which may impact user productivity.</w:t>
      </w:r>
    </w:p>
    <w:bookmarkEnd w:id="23"/>
    <w:bookmarkStart w:id="24" w:name="user-interface-and-experience-uiux"/>
    <w:p>
      <w:pPr>
        <w:pStyle w:val="Heading2"/>
      </w:pPr>
      <w:r>
        <w:t xml:space="preserve">4. User Interface and Experience (UI/UX)</w:t>
      </w:r>
    </w:p>
    <w:p>
      <w:pPr>
        <w:pStyle w:val="FirstParagraph"/>
      </w:pPr>
      <w:r>
        <w:t xml:space="preserve">The Editor's user interface is intuitive and well-organized, making it accessible to users with varying levels of technical expertise. The layout is clean, and the tools are logically grouped, reducing the learning curve for new users. Feedback from testers in Germany Berlin indicated that the UI is generally user-friendly, though some users suggested additional customization options for workflows.</w:t>
      </w:r>
    </w:p>
    <w:p>
      <w:pPr>
        <w:pStyle w:val="BodyText"/>
      </w:pPr>
      <w:r>
        <w:t xml:space="preserve">One notable strength is the Editor's responsiveness across devices, including desktops, tablets, and smartphones. This flexibility is particularly valuable for users in Germany Berlin, where mobile productivity is increasingly important.</w:t>
      </w:r>
    </w:p>
    <w:bookmarkEnd w:id="24"/>
    <w:bookmarkStart w:id="25" w:name="localization-for-germany-berlin"/>
    <w:p>
      <w:pPr>
        <w:pStyle w:val="Heading2"/>
      </w:pPr>
      <w:r>
        <w:t xml:space="preserve">5. Localization for Germany Berlin</w:t>
      </w:r>
    </w:p>
    <w:p>
      <w:pPr>
        <w:pStyle w:val="FirstParagraph"/>
      </w:pPr>
      <w:r>
        <w:t xml:space="preserve">Localization is a critical aspect of the Editor's deployment in Germany Berlin. The software supports German language interfaces, including accurate translations of menus, tooltips, and error messages. However, some nuances of the German language, such as regional dialects or formal/informal address, are not fully addressed. This could impact user satisfaction among certain demographics.</w:t>
      </w:r>
    </w:p>
    <w:p>
      <w:pPr>
        <w:pStyle w:val="BodyText"/>
      </w:pPr>
      <w:r>
        <w:t xml:space="preserve">Cultural considerations were also evaluated. The Editor includes features that align with German work practices, such as support for formal document structures and compliance with local formatting standards. Nevertheless, further refinement is needed to ensure seamless integration with the cultural and professional norms of Germany Berlin.</w:t>
      </w:r>
    </w:p>
    <w:bookmarkEnd w:id="25"/>
    <w:bookmarkStart w:id="26" w:name="compliance-with-regulations"/>
    <w:p>
      <w:pPr>
        <w:pStyle w:val="Heading2"/>
      </w:pPr>
      <w:r>
        <w:t xml:space="preserve">6. Compliance with Regulations</w:t>
      </w:r>
    </w:p>
    <w:p>
      <w:pPr>
        <w:pStyle w:val="FirstParagraph"/>
      </w:pPr>
      <w:r>
        <w:t xml:space="preserve">Compliance with German and European regulations is a mandatory requirement for the Editor's use in Germany Berlin. The software adheres to the General Data Protection Regulation (GDPR), ensuring that user data is collected, stored, and processed in accordance with legal standards. Data encryption and access controls are implemented to protect sensitive information.</w:t>
      </w:r>
    </w:p>
    <w:p>
      <w:pPr>
        <w:pStyle w:val="BodyText"/>
      </w:pPr>
      <w:r>
        <w:t xml:space="preserve">Additionally, the Editor complies with the German Telemedia Act (TMG) and other relevant laws governing digital services. However, the review identified a need for clearer documentation on how the Editor handles data residency requirements, which are particularly stringent in Germany Berlin.</w:t>
      </w:r>
    </w:p>
    <w:bookmarkEnd w:id="26"/>
    <w:bookmarkStart w:id="27" w:name="security-and-data-protection"/>
    <w:p>
      <w:pPr>
        <w:pStyle w:val="Heading2"/>
      </w:pPr>
      <w:r>
        <w:t xml:space="preserve">7. Security and Data Protection</w:t>
      </w:r>
    </w:p>
    <w:p>
      <w:pPr>
        <w:pStyle w:val="FirstParagraph"/>
      </w:pPr>
      <w:r>
        <w:t xml:space="preserve">Security is a top priority for the Editor, and the review found that the software employs robust measures to safeguard user data. Features such as two-factor authentication, role-based access control, and regular security audits contribute to a secure environment. The Editor also supports secure file sharing and collaboration, which is essential for teams operating in Germany Berlin.</w:t>
      </w:r>
    </w:p>
    <w:p>
      <w:pPr>
        <w:pStyle w:val="BodyText"/>
      </w:pPr>
      <w:r>
        <w:t xml:space="preserve">Despite these strengths, the review highlighted the need for enhanced transparency regarding third-party integrations. Users should be informed about how external services interact with the Editor and what data is shared in the process.</w:t>
      </w:r>
    </w:p>
    <w:bookmarkEnd w:id="27"/>
    <w:bookmarkStart w:id="28" w:name="integration-with-existing-systems"/>
    <w:p>
      <w:pPr>
        <w:pStyle w:val="Heading2"/>
      </w:pPr>
      <w:r>
        <w:t xml:space="preserve">8. Integration with Existing Systems</w:t>
      </w:r>
    </w:p>
    <w:p>
      <w:pPr>
        <w:pStyle w:val="FirstParagraph"/>
      </w:pPr>
      <w:r>
        <w:t xml:space="preserve">The Editor's ability to integrate with existing systems is a key factor in its adoption in Germany Berlin. The software supports APIs and plugins, enabling seamless connectivity with popular tools such as Microsoft Office, Google Workspace, and project management platforms. This flexibility is highly valued by organizations seeking to streamline their workflows.</w:t>
      </w:r>
    </w:p>
    <w:p>
      <w:pPr>
        <w:pStyle w:val="BodyText"/>
      </w:pPr>
      <w:r>
        <w:t xml:space="preserve">However, some users reported challenges when integrating the Editor with legacy systems. Improved documentation and technical support for such scenarios would enhance the Editor's appeal to enterprises in Germany Berlin.</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 to improve the Editor for use in Germany Berlin:</w:t>
      </w:r>
    </w:p>
    <w:p>
      <w:pPr>
        <w:numPr>
          <w:ilvl w:val="0"/>
          <w:numId w:val="1002"/>
        </w:numPr>
        <w:pStyle w:val="Compact"/>
      </w:pPr>
      <w:r>
        <w:t xml:space="preserve">Enhance localization efforts to address linguistic and cultural nuances specific to Germany Berlin.</w:t>
      </w:r>
    </w:p>
    <w:p>
      <w:pPr>
        <w:numPr>
          <w:ilvl w:val="0"/>
          <w:numId w:val="1002"/>
        </w:numPr>
        <w:pStyle w:val="Compact"/>
      </w:pPr>
      <w:r>
        <w:t xml:space="preserve">Optimize the search function and improve handling of complex documents.</w:t>
      </w:r>
    </w:p>
    <w:p>
      <w:pPr>
        <w:numPr>
          <w:ilvl w:val="0"/>
          <w:numId w:val="1002"/>
        </w:numPr>
        <w:pStyle w:val="Compact"/>
      </w:pPr>
      <w:r>
        <w:t xml:space="preserve">Provide clearer documentation on data residency and third-party integrations.</w:t>
      </w:r>
    </w:p>
    <w:p>
      <w:pPr>
        <w:numPr>
          <w:ilvl w:val="0"/>
          <w:numId w:val="1002"/>
        </w:numPr>
        <w:pStyle w:val="Compact"/>
      </w:pPr>
      <w:r>
        <w:t xml:space="preserve">Expand customization options for workflows to meet diverse user needs.</w:t>
      </w:r>
    </w:p>
    <w:p>
      <w:pPr>
        <w:numPr>
          <w:ilvl w:val="0"/>
          <w:numId w:val="1002"/>
        </w:numPr>
        <w:pStyle w:val="Compact"/>
      </w:pPr>
      <w:r>
        <w:t xml:space="preserve">Strengthen support for integration with legacy systems.</w:t>
      </w:r>
    </w:p>
    <w:bookmarkEnd w:id="29"/>
    <w:bookmarkStart w:id="30" w:name="conclusion"/>
    <w:p>
      <w:pPr>
        <w:pStyle w:val="Heading2"/>
      </w:pPr>
      <w:r>
        <w:t xml:space="preserve">10. Conclusion</w:t>
      </w:r>
    </w:p>
    <w:p>
      <w:pPr>
        <w:pStyle w:val="FirstParagraph"/>
      </w:pPr>
      <w:r>
        <w:t xml:space="preserve">The Editor is a powerful and versatile tool that holds significant potential for users in Germany Berlin. Its strong functionality, user-friendly interface, and compliance with regulations make it a viable option for content creation and management. However, addressing the identified areas for improvement will be crucial to ensuring its success in the region. This Peer Review Report serves as a guide for stakeholders to refine the Editor and maximize its value for users in Germany Berlin.</w:t>
      </w:r>
    </w:p>
    <w:bookmarkEnd w:id="30"/>
    <w:bookmarkStart w:id="31" w:name="appendix-summary-of-findings"/>
    <w:p>
      <w:pPr>
        <w:pStyle w:val="Heading2"/>
      </w:pPr>
      <w:r>
        <w:t xml:space="preserve">Appendix: Summary of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Functionality</w:t>
            </w:r>
          </w:p>
        </w:tc>
        <w:tc>
          <w:tcPr/>
          <w:p>
            <w:pPr>
              <w:pStyle w:val="Compact"/>
              <w:jc w:val="left"/>
            </w:pPr>
            <w:r>
              <w:t xml:space="preserve">4</w:t>
            </w:r>
          </w:p>
        </w:tc>
        <w:tc>
          <w:tcPr/>
          <w:p>
            <w:pPr>
              <w:pStyle w:val="Compact"/>
              <w:jc w:val="left"/>
            </w:pPr>
            <w:r>
              <w:t xml:space="preserve">Strong features but minor performance issues.</w:t>
            </w:r>
          </w:p>
        </w:tc>
      </w:tr>
      <w:tr>
        <w:tc>
          <w:tcPr/>
          <w:p>
            <w:pPr>
              <w:pStyle w:val="Compact"/>
              <w:jc w:val="left"/>
            </w:pPr>
            <w:r>
              <w:t xml:space="preserve">UI/UX</w:t>
            </w:r>
          </w:p>
        </w:tc>
        <w:tc>
          <w:tcPr/>
          <w:p>
            <w:pPr>
              <w:pStyle w:val="Compact"/>
              <w:jc w:val="left"/>
            </w:pPr>
            <w:r>
              <w:t xml:space="preserve">5</w:t>
            </w:r>
          </w:p>
        </w:tc>
        <w:tc>
          <w:tcPr/>
          <w:p>
            <w:pPr>
              <w:pStyle w:val="Compact"/>
              <w:jc w:val="left"/>
            </w:pPr>
            <w:r>
              <w:t xml:space="preserve">Intuitive and responsive design.</w:t>
            </w:r>
          </w:p>
        </w:tc>
      </w:tr>
      <w:tr>
        <w:tc>
          <w:tcPr/>
          <w:p>
            <w:pPr>
              <w:pStyle w:val="Compact"/>
              <w:jc w:val="left"/>
            </w:pPr>
            <w:r>
              <w:t xml:space="preserve">Localization</w:t>
            </w:r>
          </w:p>
        </w:tc>
        <w:tc>
          <w:tcPr/>
          <w:p>
            <w:pPr>
              <w:pStyle w:val="Compact"/>
              <w:jc w:val="left"/>
            </w:pPr>
            <w:r>
              <w:t xml:space="preserve">3</w:t>
            </w:r>
          </w:p>
        </w:tc>
        <w:tc>
          <w:tcPr/>
          <w:p>
            <w:pPr>
              <w:pStyle w:val="Compact"/>
              <w:jc w:val="left"/>
            </w:pPr>
            <w:r>
              <w:t xml:space="preserve">Needs improvement in linguistic and cultural nuances.</w:t>
            </w:r>
          </w:p>
        </w:tc>
      </w:tr>
      <w:tr>
        <w:tc>
          <w:tcPr/>
          <w:p>
            <w:pPr>
              <w:pStyle w:val="Compact"/>
              <w:jc w:val="left"/>
            </w:pPr>
            <w:r>
              <w:t xml:space="preserve">Compliance</w:t>
            </w:r>
          </w:p>
        </w:tc>
        <w:tc>
          <w:tcPr/>
          <w:p>
            <w:pPr>
              <w:pStyle w:val="Compact"/>
              <w:jc w:val="left"/>
            </w:pPr>
            <w:r>
              <w:t xml:space="preserve">4</w:t>
            </w:r>
          </w:p>
        </w:tc>
        <w:tc>
          <w:tcPr/>
          <w:p>
            <w:pPr>
              <w:pStyle w:val="Compact"/>
              <w:jc w:val="left"/>
            </w:pPr>
            <w:r>
              <w:t xml:space="preserve">Meets most regulations but requires clearer documentation.</w:t>
            </w:r>
          </w:p>
        </w:tc>
      </w:tr>
      <w:tr>
        <w:tc>
          <w:tcPr/>
          <w:p>
            <w:pPr>
              <w:pStyle w:val="Compact"/>
              <w:jc w:val="left"/>
            </w:pPr>
            <w:r>
              <w:t xml:space="preserve">Security</w:t>
            </w:r>
          </w:p>
        </w:tc>
        <w:tc>
          <w:tcPr/>
          <w:p>
            <w:pPr>
              <w:pStyle w:val="Compact"/>
              <w:jc w:val="left"/>
            </w:pPr>
            <w:r>
              <w:t xml:space="preserve">5</w:t>
            </w:r>
          </w:p>
        </w:tc>
        <w:tc>
          <w:tcPr/>
          <w:p>
            <w:pPr>
              <w:pStyle w:val="Compact"/>
              <w:jc w:val="left"/>
            </w:pPr>
            <w:r>
              <w:t xml:space="preserve">Robust measures in place.</w:t>
            </w:r>
          </w:p>
        </w:tc>
      </w:tr>
      <w:tr>
        <w:tc>
          <w:tcPr/>
          <w:p>
            <w:pPr>
              <w:pStyle w:val="Compact"/>
              <w:jc w:val="left"/>
            </w:pPr>
            <w:r>
              <w:t xml:space="preserve">Integration</w:t>
            </w:r>
          </w:p>
        </w:tc>
        <w:tc>
          <w:tcPr/>
          <w:p>
            <w:pPr>
              <w:pStyle w:val="Compact"/>
              <w:jc w:val="left"/>
            </w:pPr>
            <w:r>
              <w:t xml:space="preserve">4</w:t>
            </w:r>
          </w:p>
        </w:tc>
        <w:tc>
          <w:tcPr/>
          <w:p>
            <w:pPr>
              <w:pStyle w:val="Compact"/>
              <w:jc w:val="left"/>
            </w:pPr>
            <w:r>
              <w:t xml:space="preserve">Good support for modern systems; legacy integration needs work.</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 for Germany Berlin</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