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Software</w:t>
      </w:r>
      <w:r>
        <w:t xml:space="preserve"> </w:t>
      </w:r>
      <w:r>
        <w:t xml:space="preserve">Evaluation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peer-review-report-editor"/>
    <w:p>
      <w:pPr>
        <w:pStyle w:val="Heading1"/>
      </w:pPr>
      <w:r>
        <w:t xml:space="preserve">Peer Review Report: Editor</w:t>
      </w:r>
    </w:p>
    <w:p>
      <w:pPr>
        <w:pStyle w:val="FirstParagraph"/>
      </w:pPr>
      <w:r>
        <w:t xml:space="preserve">Contextual Analysis for Deployment in Malaysia Kuala Lumpur</w:t>
      </w:r>
    </w:p>
    <w:bookmarkEnd w:id="20"/>
    <w:p>
      <w:pPr>
        <w:pStyle w:val="BodyText"/>
      </w:pPr>
      <w:r>
        <w:rPr>
          <w:bCs/>
          <w:b/>
        </w:rPr>
        <w:t xml:space="preserve">Document ID:</w:t>
      </w:r>
      <w:r>
        <w:t xml:space="preserve"> </w:t>
      </w:r>
      <w:r>
        <w:t xml:space="preserve">PRR-2023-KL-001</w:t>
      </w:r>
    </w:p>
    <w:p>
      <w:pPr>
        <w:pStyle w:val="BodyText"/>
      </w:pPr>
      <w:r>
        <w:rPr>
          <w:bCs/>
          <w:b/>
        </w:rPr>
        <w:t xml:space="preserve">Subject:</w:t>
      </w:r>
      <w:r>
        <w:t xml:space="preserve"> </w:t>
      </w:r>
      <w:r>
        <w:t xml:space="preserve">Evaluation of "Editor" Software Suite</w:t>
      </w:r>
    </w:p>
    <w:p>
      <w:pPr>
        <w:pStyle w:val="BodyText"/>
      </w:pPr>
      <w:r>
        <w:rPr>
          <w:bCs/>
          <w:b/>
        </w:rPr>
        <w:t xml:space="preserve">Region:</w:t>
      </w:r>
      <w:r>
        <w:t xml:space="preserve"> </w:t>
      </w:r>
      <w:r>
        <w:t xml:space="preserve">Malaysia Kuala Lumpur</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Committee, KL Digital Standards Board</w:t>
      </w:r>
    </w:p>
    <w:bookmarkStart w:id="21" w:name="executive-summary"/>
    <w:p>
      <w:pPr>
        <w:pStyle w:val="Heading2"/>
      </w:pPr>
      <w:r>
        <w:t xml:space="preserve">1. Executive Summary</w:t>
      </w:r>
    </w:p>
    <w:p>
      <w:pPr>
        <w:pStyle w:val="FirstParagraph"/>
      </w:pPr>
      <w:r>
        <w:t xml:space="preserve">This Peer Review Report provides a comprehensive technical and operational assessment of the software application known as "Editor." The primary objective of this review is to determine the suitability, efficiency, and compliance of the Editor for professional use within the dynamic digital landscape of Malaysia Kuala Lumpur. As the capital city of Malaysia serves as the nation's primary hub for media, technology, and corporate communications, the requirements for editing tools are stringent. This report evaluates the Editor against local infrastructure capabilities, regulatory standards, and user expectations specific to the Kuala Lumpur market.</w:t>
      </w:r>
    </w:p>
    <w:bookmarkEnd w:id="21"/>
    <w:bookmarkStart w:id="22" w:name="introduction-and-scope"/>
    <w:p>
      <w:pPr>
        <w:pStyle w:val="Heading2"/>
      </w:pPr>
      <w:r>
        <w:t xml:space="preserve">2. Introduction and Scope</w:t>
      </w:r>
    </w:p>
    <w:p>
      <w:pPr>
        <w:pStyle w:val="FirstParagraph"/>
      </w:pPr>
      <w:r>
        <w:t xml:space="preserve">The term "Editor" in this context refers to the specific content management and multimedia editing platform under review. The scope of this Peer Review Report encompasses a detailed analysis of the Editor's performance, user interface, localization features, and data security protocols. Given the strategic importance of Malaysia Kuala Lumpur as a regional headquarters for many multinational corporations, the Editor must demonstrate robustness and adaptability. The review panel, consisting of senior developers and content strategists based in Kuala Lumpur, conducted a series of stress tests and usability trials to generate this report.</w:t>
      </w:r>
    </w:p>
    <w:bookmarkEnd w:id="22"/>
    <w:bookmarkStart w:id="23" w:name="Xf92ab39dcc0a6370857037c5012235d33b80cd1"/>
    <w:p>
      <w:pPr>
        <w:pStyle w:val="Heading2"/>
      </w:pPr>
      <w:r>
        <w:t xml:space="preserve">3. Technical Performance and Infrastructure Compatibility</w:t>
      </w:r>
    </w:p>
    <w:p>
      <w:pPr>
        <w:pStyle w:val="FirstParagraph"/>
      </w:pPr>
      <w:r>
        <w:t xml:space="preserve">One of the critical aspects of this Peer Review Report is the assessment of the Editor's performance within the local network environment of Malaysia Kuala Lumpur. The city boasts high-speed fiber optic connectivity, yet latency issues can still arise during peak usage hours. The Editor was tested for cloud synchronization speeds and offline capabilities.</w:t>
      </w:r>
    </w:p>
    <w:p>
      <w:pPr>
        <w:pStyle w:val="BodyText"/>
      </w:pPr>
      <w:r>
        <w:t xml:space="preserve">The results indicate that the Editor performs exceptionally well on modern hardware configurations common in Kuala Lumpur offices. However, the software's resource consumption is high. For organizations in Kuala Lumpur utilizing older legacy systems, the Editor may require hardware upgrades. Furthermore, the Editor's integration with local cloud service providers is seamless, ensuring that data residency requirements within Malaysia are met without significant latency.</w:t>
      </w:r>
    </w:p>
    <w:bookmarkEnd w:id="23"/>
    <w:bookmarkStart w:id="24" w:name="localization-and-language-support"/>
    <w:p>
      <w:pPr>
        <w:pStyle w:val="Heading2"/>
      </w:pPr>
      <w:r>
        <w:t xml:space="preserve">4. Localization and Language Support</w:t>
      </w:r>
    </w:p>
    <w:p>
      <w:pPr>
        <w:pStyle w:val="FirstParagraph"/>
      </w:pPr>
      <w:r>
        <w:t xml:space="preserve">A vital component of any software deployed in Malaysia Kuala Lumpur is its ability to handle multilingual content. The Editor was scrutinized for its support of Bahasa Malaysia, English, Mandarin, and Tamil, reflecting the multicultural demographic of the region.</w:t>
      </w:r>
    </w:p>
    <w:p>
      <w:pPr>
        <w:pStyle w:val="BodyText"/>
      </w:pPr>
      <w:r>
        <w:t xml:space="preserve">The Peer Review Report highlights that while the Editor supports English flawlessly, its support for Bahasa Malaysia requires minor adjustments in the spell-checking algorithms. The font rendering for complex scripts is generally accurate, which is crucial for publishing materials intended for the diverse audience in Kuala Lumpur. The Editor's interface localization is adequate, though some technical terms remain untranslated, which could pose a slight learning curve for non-English speaking staff in local firms.</w:t>
      </w:r>
    </w:p>
    <w:bookmarkEnd w:id="24"/>
    <w:bookmarkStart w:id="25" w:name="regulatory-compliance-and-data-privacy"/>
    <w:p>
      <w:pPr>
        <w:pStyle w:val="Heading2"/>
      </w:pPr>
      <w:r>
        <w:t xml:space="preserve">5. Regulatory Compliance and Data Privacy</w:t>
      </w:r>
    </w:p>
    <w:p>
      <w:pPr>
        <w:pStyle w:val="FirstParagraph"/>
      </w:pPr>
      <w:r>
        <w:t xml:space="preserve">Compliance with the Personal Data Protection Act (PDPA) of Malaysia is non-negotiable for software operating in Malaysia Kuala Lumpur. This Peer Review Report confirms that the Editor adheres to strict data encryption standards. The architecture of the Editor ensures that user data is processed securely, minimizing the risk of breaches.</w:t>
      </w:r>
    </w:p>
    <w:p>
      <w:pPr>
        <w:pStyle w:val="BodyText"/>
      </w:pPr>
      <w:r>
        <w:t xml:space="preserve">Additionally, the Editor's content moderation tools were evaluated against local guidelines. The software provides customizable filters that allow organizations in Kuala Lumpur to align their content output with national cultural sensitivities and legal frameworks. This adaptability is a significant advantage for media houses and corporate communications teams operating in the region.</w:t>
      </w:r>
    </w:p>
    <w:bookmarkEnd w:id="25"/>
    <w:bookmarkStart w:id="26" w:name="user-experience-and-workflow-efficiency"/>
    <w:p>
      <w:pPr>
        <w:pStyle w:val="Heading2"/>
      </w:pPr>
      <w:r>
        <w:t xml:space="preserve">6. User Experience and Workflow Efficiency</w:t>
      </w:r>
    </w:p>
    <w:p>
      <w:pPr>
        <w:pStyle w:val="FirstParagraph"/>
      </w:pPr>
      <w:r>
        <w:t xml:space="preserve">The usability of the Editor was tested by a diverse group of professionals in Malaysia Kuala Lumpur, including graphic designers, journalists, and marketing executives. The consensus is that the Editor offers an intuitive interface that reduces the time required for complex editing tasks.</w:t>
      </w:r>
    </w:p>
    <w:p>
      <w:pPr>
        <w:pStyle w:val="BodyText"/>
      </w:pPr>
      <w:r>
        <w:t xml:space="preserve">However, the Peer Review Report notes that the learning curve for advanced features is steep. Training sessions would be necessary for teams in Kuala Lumpur to fully leverage the Editor's capabilities. The collaborative features of the Editor are particularly praised, facilitating real-time teamwork among distributed teams across the Klang Valley.</w:t>
      </w:r>
    </w:p>
    <w:bookmarkEnd w:id="26"/>
    <w:bookmarkStart w:id="27" w:name="comparative-analysis"/>
    <w:p>
      <w:pPr>
        <w:pStyle w:val="Heading2"/>
      </w:pPr>
      <w:r>
        <w:t xml:space="preserve">7. Comparative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Feature</w:t>
            </w:r>
          </w:p>
        </w:tc>
        <w:tc>
          <w:tcPr/>
          <w:p>
            <w:pPr>
              <w:pStyle w:val="Compact"/>
              <w:jc w:val="left"/>
            </w:pPr>
            <w:r>
              <w:t xml:space="preserve">Editor</w:t>
            </w:r>
          </w:p>
        </w:tc>
        <w:tc>
          <w:tcPr/>
          <w:p>
            <w:pPr>
              <w:pStyle w:val="Compact"/>
              <w:jc w:val="left"/>
            </w:pPr>
            <w:r>
              <w:t xml:space="preserve">Competitor A</w:t>
            </w:r>
          </w:p>
        </w:tc>
        <w:tc>
          <w:tcPr/>
          <w:p>
            <w:pPr>
              <w:pStyle w:val="Compact"/>
              <w:jc w:val="left"/>
            </w:pPr>
            <w:r>
              <w:t xml:space="preserve">Competitor B</w:t>
            </w:r>
          </w:p>
        </w:tc>
      </w:tr>
      <w:tr>
        <w:tc>
          <w:tcPr/>
          <w:p>
            <w:pPr>
              <w:pStyle w:val="Compact"/>
              <w:jc w:val="left"/>
            </w:pPr>
            <w:r>
              <w:t xml:space="preserve">Localization (KL Context)</w:t>
            </w:r>
          </w:p>
        </w:tc>
        <w:tc>
          <w:tcPr/>
          <w:p>
            <w:pPr>
              <w:pStyle w:val="Compact"/>
              <w:jc w:val="left"/>
            </w:pPr>
            <w:r>
              <w:t xml:space="preserve">Good</w:t>
            </w:r>
          </w:p>
        </w:tc>
        <w:tc>
          <w:tcPr/>
          <w:p>
            <w:pPr>
              <w:pStyle w:val="Compact"/>
              <w:jc w:val="left"/>
            </w:pPr>
            <w:r>
              <w:t xml:space="preserve">Excellent</w:t>
            </w:r>
          </w:p>
        </w:tc>
        <w:tc>
          <w:tcPr/>
          <w:p>
            <w:pPr>
              <w:pStyle w:val="Compact"/>
              <w:jc w:val="left"/>
            </w:pPr>
            <w:r>
              <w:t xml:space="preserve">Poor</w:t>
            </w:r>
          </w:p>
        </w:tc>
      </w:tr>
      <w:tr>
        <w:tc>
          <w:tcPr/>
          <w:p>
            <w:pPr>
              <w:pStyle w:val="Compact"/>
              <w:jc w:val="left"/>
            </w:pPr>
            <w:r>
              <w:t xml:space="preserve">Cloud Sync Speed</w:t>
            </w:r>
          </w:p>
        </w:tc>
        <w:tc>
          <w:tcPr/>
          <w:p>
            <w:pPr>
              <w:pStyle w:val="Compact"/>
              <w:jc w:val="left"/>
            </w:pPr>
            <w:r>
              <w:t xml:space="preserve">Excellent</w:t>
            </w:r>
          </w:p>
        </w:tc>
        <w:tc>
          <w:tcPr/>
          <w:p>
            <w:pPr>
              <w:pStyle w:val="Compact"/>
              <w:jc w:val="left"/>
            </w:pPr>
            <w:r>
              <w:t xml:space="preserve">Good</w:t>
            </w:r>
          </w:p>
        </w:tc>
        <w:tc>
          <w:tcPr/>
          <w:p>
            <w:pPr>
              <w:pStyle w:val="Compact"/>
              <w:jc w:val="left"/>
            </w:pPr>
            <w:r>
              <w:t xml:space="preserve">Good</w:t>
            </w:r>
          </w:p>
        </w:tc>
      </w:tr>
      <w:tr>
        <w:tc>
          <w:tcPr/>
          <w:p>
            <w:pPr>
              <w:pStyle w:val="Compact"/>
              <w:jc w:val="left"/>
            </w:pPr>
            <w:r>
              <w:t xml:space="preserve">PDPA Compliance</w:t>
            </w:r>
          </w:p>
        </w:tc>
        <w:tc>
          <w:tcPr/>
          <w:p>
            <w:pPr>
              <w:pStyle w:val="Compact"/>
              <w:jc w:val="left"/>
            </w:pPr>
            <w:r>
              <w:t xml:space="preserve">Excellent</w:t>
            </w:r>
          </w:p>
        </w:tc>
        <w:tc>
          <w:tcPr/>
          <w:p>
            <w:pPr>
              <w:pStyle w:val="Compact"/>
              <w:jc w:val="left"/>
            </w:pPr>
            <w:r>
              <w:t xml:space="preserve">Excellent</w:t>
            </w:r>
          </w:p>
        </w:tc>
        <w:tc>
          <w:tcPr/>
          <w:p>
            <w:pPr>
              <w:pStyle w:val="Compact"/>
              <w:jc w:val="left"/>
            </w:pPr>
            <w:r>
              <w:t xml:space="preserve">Good</w:t>
            </w:r>
          </w:p>
        </w:tc>
      </w:tr>
      <w:tr>
        <w:tc>
          <w:tcPr/>
          <w:p>
            <w:pPr>
              <w:pStyle w:val="Compact"/>
              <w:jc w:val="left"/>
            </w:pPr>
            <w:r>
              <w:t xml:space="preserve">Cost Efficiency</w:t>
            </w:r>
          </w:p>
        </w:tc>
        <w:tc>
          <w:tcPr/>
          <w:p>
            <w:pPr>
              <w:pStyle w:val="Compact"/>
              <w:jc w:val="left"/>
            </w:pPr>
            <w:r>
              <w:t xml:space="preserve">Moderate</w:t>
            </w:r>
          </w:p>
        </w:tc>
        <w:tc>
          <w:tcPr/>
          <w:p>
            <w:pPr>
              <w:pStyle w:val="Compact"/>
              <w:jc w:val="left"/>
            </w:pPr>
            <w:r>
              <w:t xml:space="preserve">High</w:t>
            </w:r>
          </w:p>
        </w:tc>
        <w:tc>
          <w:tcPr/>
          <w:p>
            <w:pPr>
              <w:pStyle w:val="Compact"/>
              <w:jc w:val="left"/>
            </w:pPr>
            <w:r>
              <w:t xml:space="preserve">Low</w:t>
            </w:r>
          </w:p>
        </w:tc>
      </w:tr>
    </w:tbl>
    <w:bookmarkEnd w:id="27"/>
    <w:bookmarkStart w:id="28" w:name="recommendations-and-conclusion"/>
    <w:p>
      <w:pPr>
        <w:pStyle w:val="Heading2"/>
      </w:pPr>
      <w:r>
        <w:t xml:space="preserve">8. Recommendations and Conclusion</w:t>
      </w:r>
    </w:p>
    <w:p>
      <w:pPr>
        <w:pStyle w:val="FirstParagraph"/>
      </w:pPr>
      <w:r>
        <w:t xml:space="preserve">Based on the findings of this Peer Review Report, the Editor is recommended for adoption by organizations in Malaysia Kuala Lumpur, particularly those in the media and technology sectors. Its robust performance, compliance with local regulations, and strong collaborative features make it a viable choice. However, organizations should invest in training to overcome the steep learning curve and consider hardware upgrades for legacy systems.</w:t>
      </w:r>
    </w:p>
    <w:p>
      <w:pPr>
        <w:pStyle w:val="BodyText"/>
      </w:pPr>
      <w:r>
        <w:t xml:space="preserve">The Editor shows great promise as a tool that can enhance productivity and content quality in Malaysia Kuala Lumpur. With minor improvements in localization and resource optimization, it has the potential to become the industry standard for editing solutions in the region. This Peer Review Report serves as a definitive guide for stakeholders considering the implementation of the Editor in their operational workflows.</w:t>
      </w:r>
    </w:p>
    <w:p>
      <w:pPr>
        <w:pStyle w:val="BodyText"/>
      </w:pPr>
      <w:r>
        <w:t xml:space="preserve">© 2023 KL Digital Standards Board. All rights reserved. This Peer Review Report is confidential and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Software Evaluation for Malaysia Kuala Lumpur</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