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Software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Suite</w:t>
      </w:r>
    </w:p>
    <w:p>
      <w:pPr>
        <w:pStyle w:val="BodyText"/>
      </w:pPr>
      <w:r>
        <w:rPr>
          <w:bCs/>
          <w:b/>
        </w:rPr>
        <w:t xml:space="preserve">Location Context:</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Technical Evaluation Committee</w:t>
      </w:r>
    </w:p>
    <w:bookmarkEnd w:id="20"/>
    <w:bookmarkStart w:id="21" w:name="introduction"/>
    <w:p>
      <w:pPr>
        <w:pStyle w:val="Heading2"/>
      </w:pPr>
      <w:r>
        <w:t xml:space="preserve">1. Introduction</w:t>
      </w:r>
    </w:p>
    <w:p>
      <w:pPr>
        <w:pStyle w:val="FirstParagraph"/>
      </w:pPr>
      <w:r>
        <w:t xml:space="preserve">This Peer Review Report provides a comprehensive assessment of the Editor software suite, focusing on its suitability for professional use within the Netherlands Amsterdam region. The evaluation considers technical performance, usability, localization, compliance with European standards, and integration capabilities relevant to Amsterdam's dynamic digital ecosystem.</w:t>
      </w:r>
    </w:p>
    <w:bookmarkEnd w:id="21"/>
    <w:bookmarkStart w:id="22" w:name="executive-summary"/>
    <w:p>
      <w:pPr>
        <w:pStyle w:val="Heading2"/>
      </w:pPr>
      <w:r>
        <w:t xml:space="preserve">2. Executive Summary</w:t>
      </w:r>
    </w:p>
    <w:p>
      <w:pPr>
        <w:pStyle w:val="FirstParagraph"/>
      </w:pPr>
      <w:r>
        <w:t xml:space="preserve">The Editor demonstrates strong core functionality, robust performance, and thoughtful design. Its adaptability to multilingual environments and compliance with GDPR make it particularly well-suited for organizations operating in Netherlands Amsterdam. Minor improvements in localization depth and regional integration are recommended to fully meet local expectations.</w:t>
      </w:r>
    </w:p>
    <w:bookmarkEnd w:id="22"/>
    <w:bookmarkStart w:id="23" w:name="scope-of-the-peer-review"/>
    <w:p>
      <w:pPr>
        <w:pStyle w:val="Heading2"/>
      </w:pPr>
      <w:r>
        <w:t xml:space="preserve">3. Scope of the Peer Review</w:t>
      </w:r>
    </w:p>
    <w:p>
      <w:pPr>
        <w:pStyle w:val="FirstParagraph"/>
      </w:pPr>
      <w:r>
        <w:t xml:space="preserve">This Peer Review Report evaluates the Editor across the following dimensions:</w:t>
      </w:r>
    </w:p>
    <w:p>
      <w:pPr>
        <w:numPr>
          <w:ilvl w:val="0"/>
          <w:numId w:val="1001"/>
        </w:numPr>
        <w:pStyle w:val="Compact"/>
      </w:pPr>
      <w:r>
        <w:t xml:space="preserve">Functional capabilities and feature completeness</w:t>
      </w:r>
    </w:p>
    <w:p>
      <w:pPr>
        <w:numPr>
          <w:ilvl w:val="0"/>
          <w:numId w:val="1001"/>
        </w:numPr>
        <w:pStyle w:val="Compact"/>
      </w:pPr>
      <w:r>
        <w:t xml:space="preserve">User interface and user experience (UI/UX)</w:t>
      </w:r>
    </w:p>
    <w:p>
      <w:pPr>
        <w:numPr>
          <w:ilvl w:val="0"/>
          <w:numId w:val="1001"/>
        </w:numPr>
        <w:pStyle w:val="Compact"/>
      </w:pPr>
      <w:r>
        <w:t xml:space="preserve">Performance and scalability</w:t>
      </w:r>
    </w:p>
    <w:p>
      <w:pPr>
        <w:numPr>
          <w:ilvl w:val="0"/>
          <w:numId w:val="1001"/>
        </w:numPr>
        <w:pStyle w:val="Compact"/>
      </w:pPr>
      <w:r>
        <w:t xml:space="preserve">Security, privacy, and regulatory compliance</w:t>
      </w:r>
    </w:p>
    <w:p>
      <w:pPr>
        <w:numPr>
          <w:ilvl w:val="0"/>
          <w:numId w:val="1001"/>
        </w:numPr>
        <w:pStyle w:val="Compact"/>
      </w:pPr>
      <w:r>
        <w:t xml:space="preserve">Localization and language support for Netherlands Amsterdam</w:t>
      </w:r>
    </w:p>
    <w:p>
      <w:pPr>
        <w:numPr>
          <w:ilvl w:val="0"/>
          <w:numId w:val="1001"/>
        </w:numPr>
        <w:pStyle w:val="Compact"/>
      </w:pPr>
      <w:r>
        <w:t xml:space="preserve">Integration with regional tools and workflows</w:t>
      </w:r>
    </w:p>
    <w:p>
      <w:pPr>
        <w:numPr>
          <w:ilvl w:val="0"/>
          <w:numId w:val="1001"/>
        </w:numPr>
        <w:pStyle w:val="Compact"/>
      </w:pPr>
      <w:r>
        <w:t xml:space="preserve">Documentation and support quality</w:t>
      </w:r>
    </w:p>
    <w:bookmarkEnd w:id="23"/>
    <w:bookmarkStart w:id="24" w:name="functional-assessment"/>
    <w:p>
      <w:pPr>
        <w:pStyle w:val="Heading2"/>
      </w:pPr>
      <w:r>
        <w:t xml:space="preserve">4. Functional Assessment</w:t>
      </w:r>
    </w:p>
    <w:p>
      <w:pPr>
        <w:pStyle w:val="FirstParagraph"/>
      </w:pPr>
      <w:r>
        <w:t xml:space="preserve">The Editor provides a comprehensive set of tools for content creation, editing, and collaboration. Key strengths include:</w:t>
      </w:r>
    </w:p>
    <w:p>
      <w:pPr>
        <w:numPr>
          <w:ilvl w:val="0"/>
          <w:numId w:val="1002"/>
        </w:numPr>
        <w:pStyle w:val="Compact"/>
      </w:pPr>
      <w:r>
        <w:t xml:space="preserve">Real-time collaborative editing with conflict resolution</w:t>
      </w:r>
    </w:p>
    <w:p>
      <w:pPr>
        <w:numPr>
          <w:ilvl w:val="0"/>
          <w:numId w:val="1002"/>
        </w:numPr>
        <w:pStyle w:val="Compact"/>
      </w:pPr>
      <w:r>
        <w:t xml:space="preserve">Version control and audit trails</w:t>
      </w:r>
    </w:p>
    <w:p>
      <w:pPr>
        <w:numPr>
          <w:ilvl w:val="0"/>
          <w:numId w:val="1002"/>
        </w:numPr>
        <w:pStyle w:val="Compact"/>
      </w:pPr>
      <w:r>
        <w:t xml:space="preserve">Support for multiple content formats (text, structured data, multimedia)</w:t>
      </w:r>
    </w:p>
    <w:p>
      <w:pPr>
        <w:numPr>
          <w:ilvl w:val="0"/>
          <w:numId w:val="1002"/>
        </w:numPr>
        <w:pStyle w:val="Compact"/>
      </w:pPr>
      <w:r>
        <w:t xml:space="preserve">Extensible plugin architecture for custom workflows</w:t>
      </w:r>
    </w:p>
    <w:p>
      <w:pPr>
        <w:pStyle w:val="FirstParagraph"/>
      </w:pPr>
      <w:r>
        <w:t xml:space="preserve">For teams in Netherlands Amsterdam, the Editor’s ability to support complex editorial workflows aligns well with the region’s emphasis on innovation and digital transformation.</w:t>
      </w:r>
    </w:p>
    <w:bookmarkEnd w:id="24"/>
    <w:bookmarkStart w:id="25" w:name="user-interface-and-experience"/>
    <w:p>
      <w:pPr>
        <w:pStyle w:val="Heading2"/>
      </w:pPr>
      <w:r>
        <w:t xml:space="preserve">5. User Interface and Experience</w:t>
      </w:r>
    </w:p>
    <w:p>
      <w:pPr>
        <w:pStyle w:val="FirstParagraph"/>
      </w:pPr>
      <w:r>
        <w:t xml:space="preserve">The Editor’s interface is clean, intuitive, and consistent. Navigation is logical, and advanced features are accessible without overwhelming novice users. Keyboard shortcuts and accessibility features are well-implemented, supporting inclusive use across diverse teams in Amsterdam.</w:t>
      </w:r>
    </w:p>
    <w:p>
      <w:pPr>
        <w:pStyle w:val="BodyText"/>
      </w:pPr>
      <w:r>
        <w:t xml:space="preserve">However, some advanced settings are buried in nested menus, which may reduce efficiency for power users. Streamlining access to frequently used tools would enhance productivity.</w:t>
      </w:r>
    </w:p>
    <w:bookmarkEnd w:id="25"/>
    <w:bookmarkStart w:id="26" w:name="performance-and-scalability"/>
    <w:p>
      <w:pPr>
        <w:pStyle w:val="Heading2"/>
      </w:pPr>
      <w:r>
        <w:t xml:space="preserve">6. Performance and Scalability</w:t>
      </w:r>
    </w:p>
    <w:p>
      <w:pPr>
        <w:pStyle w:val="FirstParagraph"/>
      </w:pPr>
      <w:r>
        <w:t xml:space="preserve">Performance testing indicates that the Editor handles large documents and high-concurrency collaboration effectively. Load times are acceptable, and responsiveness remains stable under typical enterprise workloads.</w:t>
      </w:r>
    </w:p>
    <w:p>
      <w:pPr>
        <w:pStyle w:val="BodyText"/>
      </w:pPr>
      <w:r>
        <w:t xml:space="preserve">For organizations in Netherlands Amsterdam with distributed teams, the Editor’s cloud-based architecture supports reliable access across locations. Further optimization for low-bandwidth environments would benefit remote and hybrid work scenarios.</w:t>
      </w:r>
    </w:p>
    <w:bookmarkEnd w:id="26"/>
    <w:bookmarkStart w:id="27" w:name="security-privacy-and-compliance"/>
    <w:p>
      <w:pPr>
        <w:pStyle w:val="Heading2"/>
      </w:pPr>
      <w:r>
        <w:t xml:space="preserve">7. Security, Privacy, and Compliance</w:t>
      </w:r>
    </w:p>
    <w:p>
      <w:pPr>
        <w:pStyle w:val="FirstParagraph"/>
      </w:pPr>
      <w:r>
        <w:t xml:space="preserve">The Editor demonstrates strong security practices, including end-to-end encryption, role-based access control, and secure authentication options. It is compliant with GDPR, a critical requirement for any software deployed in Netherlands Amsterdam and the broader EU.</w:t>
      </w:r>
    </w:p>
    <w:p>
      <w:pPr>
        <w:pStyle w:val="BodyText"/>
      </w:pPr>
      <w:r>
        <w:t xml:space="preserve">Data residency options are available, allowing organizations to store data within the EU. Clear documentation on data handling and privacy policies enhances trust and facilitates compliance audits.</w:t>
      </w:r>
    </w:p>
    <w:bookmarkEnd w:id="27"/>
    <w:bookmarkStart w:id="28" w:name="localization-and-language-support"/>
    <w:p>
      <w:pPr>
        <w:pStyle w:val="Heading2"/>
      </w:pPr>
      <w:r>
        <w:t xml:space="preserve">8. Localization and Language Support</w:t>
      </w:r>
    </w:p>
    <w:p>
      <w:pPr>
        <w:pStyle w:val="FirstParagraph"/>
      </w:pPr>
      <w:r>
        <w:t xml:space="preserve">Given the multilingual environment of Netherlands Amsterdam, localization is a key consideration. The Editor supports multiple languages, including Dutch and English, with accurate translations for core interfaces and menus.</w:t>
      </w:r>
    </w:p>
    <w:p>
      <w:pPr>
        <w:pStyle w:val="BodyText"/>
      </w:pPr>
      <w:r>
        <w:t xml:space="preserve">However, some advanced features and error messages lack full Dutch localization. Additionally, support for regional formatting conventions (e.g., date, number, and currency formats) could be improved to better align with local standards.</w:t>
      </w:r>
    </w:p>
    <w:bookmarkEnd w:id="28"/>
    <w:bookmarkStart w:id="29" w:name="integration-and-ecosystem-compatibility"/>
    <w:p>
      <w:pPr>
        <w:pStyle w:val="Heading2"/>
      </w:pPr>
      <w:r>
        <w:t xml:space="preserve">9. Integration and Ecosystem Compatibility</w:t>
      </w:r>
    </w:p>
    <w:p>
      <w:pPr>
        <w:pStyle w:val="FirstParagraph"/>
      </w:pPr>
      <w:r>
        <w:t xml:space="preserve">The Editor integrates well with common productivity and collaboration tools, including email clients, cloud storage, and project management platforms. API access is well-documented, enabling custom integrations tailored to organizational needs.</w:t>
      </w:r>
    </w:p>
    <w:p>
      <w:pPr>
        <w:pStyle w:val="BodyText"/>
      </w:pPr>
      <w:r>
        <w:t xml:space="preserve">For Amsterdam-based enterprises, deeper integration with regional services and government digital platforms would enhance utility and streamline workflows.</w:t>
      </w:r>
    </w:p>
    <w:bookmarkEnd w:id="29"/>
    <w:bookmarkStart w:id="30" w:name="documentation-and-support"/>
    <w:p>
      <w:pPr>
        <w:pStyle w:val="Heading2"/>
      </w:pPr>
      <w:r>
        <w:t xml:space="preserve">10. Documentation and Support</w:t>
      </w:r>
    </w:p>
    <w:p>
      <w:pPr>
        <w:pStyle w:val="FirstParagraph"/>
      </w:pPr>
      <w:r>
        <w:t xml:space="preserve">Documentation is comprehensive, covering installation, configuration, usage, and troubleshooting. Tutorials and knowledge base articles are clear and well-organized.</w:t>
      </w:r>
    </w:p>
    <w:p>
      <w:pPr>
        <w:pStyle w:val="BodyText"/>
      </w:pPr>
      <w:r>
        <w:t xml:space="preserve">Support channels include email, live chat, and community forums. Response times are generally satisfactory, though localized support in Dutch would be beneficial for teams in Netherlands Amsterdam.</w:t>
      </w:r>
    </w:p>
    <w:bookmarkEnd w:id="30"/>
    <w:bookmarkStart w:id="31" w:name="recommendations"/>
    <w:p>
      <w:pPr>
        <w:pStyle w:val="Heading2"/>
      </w:pPr>
      <w:r>
        <w:t xml:space="preserve">11. Recommendations</w:t>
      </w:r>
    </w:p>
    <w:p>
      <w:pPr>
        <w:pStyle w:val="FirstParagraph"/>
      </w:pPr>
      <w:r>
        <w:t xml:space="preserve">Based on this Peer Review Report, the following recommendations are made to enhance the Editor’s suitability for use in Netherlands Amsterdam:</w:t>
      </w:r>
    </w:p>
    <w:p>
      <w:pPr>
        <w:numPr>
          <w:ilvl w:val="0"/>
          <w:numId w:val="1003"/>
        </w:numPr>
        <w:pStyle w:val="Compact"/>
      </w:pPr>
      <w:r>
        <w:t xml:space="preserve">Expand Dutch localization to cover all features, messages, and help content.</w:t>
      </w:r>
    </w:p>
    <w:p>
      <w:pPr>
        <w:numPr>
          <w:ilvl w:val="0"/>
          <w:numId w:val="1003"/>
        </w:numPr>
        <w:pStyle w:val="Compact"/>
      </w:pPr>
      <w:r>
        <w:t xml:space="preserve">Improve support for regional formatting and compliance standards.</w:t>
      </w:r>
    </w:p>
    <w:p>
      <w:pPr>
        <w:numPr>
          <w:ilvl w:val="0"/>
          <w:numId w:val="1003"/>
        </w:numPr>
        <w:pStyle w:val="Compact"/>
      </w:pPr>
      <w:r>
        <w:t xml:space="preserve">Optimize performance for low-bandwidth and hybrid work environments.</w:t>
      </w:r>
    </w:p>
    <w:p>
      <w:pPr>
        <w:numPr>
          <w:ilvl w:val="0"/>
          <w:numId w:val="1003"/>
        </w:numPr>
        <w:pStyle w:val="Compact"/>
      </w:pPr>
      <w:r>
        <w:t xml:space="preserve">Provide localized customer support in Dutch.</w:t>
      </w:r>
    </w:p>
    <w:p>
      <w:pPr>
        <w:numPr>
          <w:ilvl w:val="0"/>
          <w:numId w:val="1003"/>
        </w:numPr>
        <w:pStyle w:val="Compact"/>
      </w:pPr>
      <w:r>
        <w:t xml:space="preserve">Develop integrations with regional digital services and platforms.</w:t>
      </w:r>
    </w:p>
    <w:bookmarkEnd w:id="31"/>
    <w:bookmarkStart w:id="32" w:name="conclusion"/>
    <w:p>
      <w:pPr>
        <w:pStyle w:val="Heading2"/>
      </w:pPr>
      <w:r>
        <w:t xml:space="preserve">12. Conclusion</w:t>
      </w:r>
    </w:p>
    <w:p>
      <w:pPr>
        <w:pStyle w:val="FirstParagraph"/>
      </w:pPr>
      <w:r>
        <w:t xml:space="preserve">The Editor is a robust, secure, and feature-rich solution well-suited for professional use in Netherlands Amsterdam. Its strong compliance with EU regulations, collaborative capabilities, and extensibility make it a valuable tool for modern organizations. Addressing the identified localization and integration gaps will further enhance its effectiveness and adoption in the region.</w:t>
      </w:r>
    </w:p>
    <w:bookmarkEnd w:id="32"/>
    <w:p>
      <w:pPr>
        <w:pStyle w:val="BodyText"/>
      </w:pPr>
      <w:r>
        <w:t xml:space="preserve">This Peer Review Report is intended for informational purposes and reflects the evaluation criteria and findings of the reviewing committee as of the date indicated.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Software Evaluation</dc:title>
  <dc:creator/>
  <dc:language>en</dc:language>
  <cp:keywords/>
  <dcterms:created xsi:type="dcterms:W3CDTF">2026-10-10T06:28:16Z</dcterms:created>
  <dcterms:modified xsi:type="dcterms:W3CDTF">2026-10-10T06:28:16Z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