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Editor Software for Implementation in Philippines Manila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provides a comprehensive evaluation of the proposed Editor software intended for deployment within the Philippines Manila region. The primary objective of this review is to assess the suitability, functionality, and cultural adaptability of the Editor for local users in Manila, considering the unique linguistic, technological, and operational requirements of the area.</w:t>
      </w:r>
    </w:p>
    <w:p>
      <w:pPr>
        <w:pStyle w:val="BodyText"/>
      </w:pPr>
      <w:r>
        <w:t xml:space="preserve">The Philippines Manila region presents a dynamic environment characterized by a multilingual population, varying levels of digital literacy, and specific regulatory considerations. This report examines how well the Editor aligns with these contextual factors and offers recommendations for optimization.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Functional assessment of the Editor’s core features.</w:t>
      </w:r>
    </w:p>
    <w:p>
      <w:pPr>
        <w:numPr>
          <w:ilvl w:val="0"/>
          <w:numId w:val="1001"/>
        </w:numPr>
        <w:pStyle w:val="Compact"/>
      </w:pPr>
      <w:r>
        <w:t xml:space="preserve">Evaluation of localization and language support relevant to Philippines Manila.</w:t>
      </w:r>
    </w:p>
    <w:p>
      <w:pPr>
        <w:numPr>
          <w:ilvl w:val="0"/>
          <w:numId w:val="1001"/>
        </w:numPr>
        <w:pStyle w:val="Compact"/>
      </w:pPr>
      <w:r>
        <w:t xml:space="preserve">Analysis of usability and accessibility for diverse user groups in Manila.</w:t>
      </w:r>
    </w:p>
    <w:p>
      <w:pPr>
        <w:numPr>
          <w:ilvl w:val="0"/>
          <w:numId w:val="1001"/>
        </w:numPr>
        <w:pStyle w:val="Compact"/>
      </w:pPr>
      <w:r>
        <w:t xml:space="preserve">Review of technical performance and compatibility with local infrastructure.</w:t>
      </w:r>
    </w:p>
    <w:p>
      <w:pPr>
        <w:numPr>
          <w:ilvl w:val="0"/>
          <w:numId w:val="1001"/>
        </w:numPr>
        <w:pStyle w:val="Compact"/>
      </w:pPr>
      <w:r>
        <w:t xml:space="preserve">Compliance with Philippine data privacy and regulatory standards.</w:t>
      </w:r>
    </w:p>
    <w:p>
      <w:pPr>
        <w:pStyle w:val="FirstParagraph"/>
      </w:pPr>
      <w:r>
        <w:t xml:space="preserve">Each aspect is critically examined to ensure that the Editor meets the expectations and needs of its intended users in the Philippines Manila region.</w:t>
      </w:r>
    </w:p>
    <w:bookmarkEnd w:id="22"/>
    <w:bookmarkStart w:id="23" w:name="functional-assessment"/>
    <w:p>
      <w:pPr>
        <w:pStyle w:val="Heading2"/>
      </w:pPr>
      <w:r>
        <w:t xml:space="preserve">3. Functional Assessment</w:t>
      </w:r>
    </w:p>
    <w:p>
      <w:pPr>
        <w:pStyle w:val="FirstParagraph"/>
      </w:pPr>
      <w:r>
        <w:t xml:space="preserve">The Editor was evaluated based on its core functionalities, including text editing, formatting, collaboration tools, and version control. The review found that the Editor offers a robust set of features that are generally aligned with international standards. However, certain functionalities require adaptation to better serve users in Philippines Manila.</w:t>
      </w:r>
    </w:p>
    <w:p>
      <w:pPr>
        <w:pStyle w:val="BodyText"/>
      </w:pPr>
      <w:r>
        <w:t xml:space="preserve">For instance, the collaboration tools should support real-time editing with low bandwidth consumption, as internet connectivity in some parts of Manila can be inconsistent. Additionally, the Editor’s interface should be streamlined to reduce cognitive load for users who may have limited experience with advanced editing software.</w:t>
      </w:r>
    </w:p>
    <w:bookmarkEnd w:id="23"/>
    <w:bookmarkStart w:id="24" w:name="localization-and-language-support"/>
    <w:p>
      <w:pPr>
        <w:pStyle w:val="Heading2"/>
      </w:pPr>
      <w:r>
        <w:t xml:space="preserve">4. Localization and Language Support</w:t>
      </w:r>
    </w:p>
    <w:p>
      <w:pPr>
        <w:pStyle w:val="FirstParagraph"/>
      </w:pPr>
      <w:r>
        <w:t xml:space="preserve">One of the most critical aspects of this Peer Review Report is the assessment of the Editor’s localization capabilities. The Philippines Manila region is linguistically diverse, with Filipino (Tagalog) and English being the primary languages of communication. The Editor must support both languages seamlessly to ensure inclusivity and ease of use.</w:t>
      </w:r>
    </w:p>
    <w:p>
      <w:pPr>
        <w:pStyle w:val="BodyText"/>
      </w:pPr>
      <w:r>
        <w:t xml:space="preserve">The current version of the Editor provides basic English support but lacks comprehensive Filipino language integration. This limitation could hinder adoption among local users who prefer working in their native language. It is recommended that the development team prioritize the addition of Filipino language packs, including grammar checks, spell checks, and culturally relevant templates.</w:t>
      </w:r>
    </w:p>
    <w:p>
      <w:pPr>
        <w:pStyle w:val="BodyText"/>
      </w:pPr>
      <w:r>
        <w:t xml:space="preserve">Furthermore, the Editor should accommodate code-switching, a common practice in Manila where users alternate between Filipino and English within the same document. This feature would significantly enhance the Editor’s relevance and usability in the local context.</w:t>
      </w:r>
    </w:p>
    <w:bookmarkEnd w:id="24"/>
    <w:bookmarkStart w:id="25" w:name="usability-and-accessibility"/>
    <w:p>
      <w:pPr>
        <w:pStyle w:val="Heading2"/>
      </w:pPr>
      <w:r>
        <w:t xml:space="preserve">5. Usability and Accessibility</w:t>
      </w:r>
    </w:p>
    <w:p>
      <w:pPr>
        <w:pStyle w:val="FirstParagraph"/>
      </w:pPr>
      <w:r>
        <w:t xml:space="preserve">The usability of the Editor was tested with a sample group of users from various demographics in Philippines Manila. Feedback indicated that while the Editor is intuitive for tech-savvy users, it may pose challenges for individuals with limited digital literacy. Simplifying the user interface and providing contextual help features would improve accessibility.</w:t>
      </w:r>
    </w:p>
    <w:p>
      <w:pPr>
        <w:pStyle w:val="BodyText"/>
      </w:pPr>
      <w:r>
        <w:t xml:space="preserve">Additionally, the Editor should comply with accessibility standards to accommodate users with disabilities. This includes support for screen readers, keyboard navigation, and adjustable text sizes. Ensuring accessibility is not only a best practice but also aligns with the Philippine Magna Carta for Disabled Persons.</w:t>
      </w:r>
    </w:p>
    <w:bookmarkEnd w:id="25"/>
    <w:bookmarkStart w:id="26" w:name="technical-performance"/>
    <w:p>
      <w:pPr>
        <w:pStyle w:val="Heading2"/>
      </w:pPr>
      <w:r>
        <w:t xml:space="preserve">6. Technical Performance</w:t>
      </w:r>
    </w:p>
    <w:p>
      <w:pPr>
        <w:pStyle w:val="FirstParagraph"/>
      </w:pPr>
      <w:r>
        <w:t xml:space="preserve">The technical performance of the Editor was evaluated under conditions simulating the typical internet infrastructure in Philippines Manila. The Editor demonstrated acceptable performance on high-speed connections but experienced latency issues on slower networks. Optimizing the Editor for low-bandwidth environments is essential to ensure consistent performance across the region.</w:t>
      </w:r>
    </w:p>
    <w:p>
      <w:pPr>
        <w:pStyle w:val="BodyText"/>
      </w:pPr>
      <w:r>
        <w:t xml:space="preserve">Moreover, the Editor should be compatible with a wide range of devices, including older models that are still in use in Manila. This includes support for various operating systems and browsers commonly used in the Philippines.</w:t>
      </w:r>
    </w:p>
    <w:bookmarkEnd w:id="26"/>
    <w:bookmarkStart w:id="27" w:name="regulatory-compliance"/>
    <w:p>
      <w:pPr>
        <w:pStyle w:val="Heading2"/>
      </w:pPr>
      <w:r>
        <w:t xml:space="preserve">7. Regulatory Compliance</w:t>
      </w:r>
    </w:p>
    <w:p>
      <w:pPr>
        <w:pStyle w:val="FirstParagraph"/>
      </w:pPr>
      <w:r>
        <w:t xml:space="preserve">Data privacy is a significant concern in the Philippines, governed by the Data Privacy Act of 2012. The Editor must ensure that all user data is handled in compliance with this legislation. This includes secure data storage, encryption, and transparent privacy policies.</w:t>
      </w:r>
    </w:p>
    <w:p>
      <w:pPr>
        <w:pStyle w:val="BodyText"/>
      </w:pPr>
      <w:r>
        <w:t xml:space="preserve">The Peer Review Report recommends conducting a thorough audit of the Editor’s data handling practices to verify compliance with Philippine regulations. Any discrepancies should be addressed promptly to avoid legal and reputational risks.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enhance the Editor’s suitability for deployment in Philippines Manila:</w:t>
      </w:r>
    </w:p>
    <w:p>
      <w:pPr>
        <w:numPr>
          <w:ilvl w:val="0"/>
          <w:numId w:val="1002"/>
        </w:numPr>
        <w:pStyle w:val="Compact"/>
      </w:pPr>
      <w:r>
        <w:t xml:space="preserve">Implement comprehensive Filipino language support, including grammar and spell checks.</w:t>
      </w:r>
    </w:p>
    <w:p>
      <w:pPr>
        <w:numPr>
          <w:ilvl w:val="0"/>
          <w:numId w:val="1002"/>
        </w:numPr>
        <w:pStyle w:val="Compact"/>
      </w:pPr>
      <w:r>
        <w:t xml:space="preserve">Optimize the Editor for low-bandwidth environments to ensure reliable performance.</w:t>
      </w:r>
    </w:p>
    <w:p>
      <w:pPr>
        <w:numPr>
          <w:ilvl w:val="0"/>
          <w:numId w:val="1002"/>
        </w:numPr>
        <w:pStyle w:val="Compact"/>
      </w:pPr>
      <w:r>
        <w:t xml:space="preserve">Simplify the user interface to improve accessibility for users with varying levels of digital literacy.</w:t>
      </w:r>
    </w:p>
    <w:p>
      <w:pPr>
        <w:numPr>
          <w:ilvl w:val="0"/>
          <w:numId w:val="1002"/>
        </w:numPr>
        <w:pStyle w:val="Compact"/>
      </w:pPr>
      <w:r>
        <w:t xml:space="preserve">Ensure compliance with the Philippine Data Privacy Act of 2012.</w:t>
      </w:r>
    </w:p>
    <w:p>
      <w:pPr>
        <w:numPr>
          <w:ilvl w:val="0"/>
          <w:numId w:val="1002"/>
        </w:numPr>
        <w:pStyle w:val="Compact"/>
      </w:pPr>
      <w:r>
        <w:t xml:space="preserve">Conduct user testing with a diverse group of Manila residents to gather feedback and refine the Editor.</w:t>
      </w:r>
    </w:p>
    <w:bookmarkEnd w:id="28"/>
    <w:bookmarkStart w:id="29" w:name="conclusion"/>
    <w:p>
      <w:pPr>
        <w:pStyle w:val="Heading2"/>
      </w:pPr>
      <w:r>
        <w:t xml:space="preserve">9. Conclusion</w:t>
      </w:r>
    </w:p>
    <w:p>
      <w:pPr>
        <w:pStyle w:val="FirstParagraph"/>
      </w:pPr>
      <w:r>
        <w:t xml:space="preserve">This Peer Review Report highlights both the strengths and areas for improvement of the Editor in the context of its intended use in Philippines Manila. By addressing the identified gaps and implementing the recommended enhancements, the Editor can become a valuable tool for users in the region, supporting their communication, collaboration, and productivity needs.</w:t>
      </w:r>
    </w:p>
    <w:p>
      <w:pPr>
        <w:pStyle w:val="BodyText"/>
      </w:pPr>
      <w:r>
        <w:t xml:space="preserve">The successful deployment of the Editor in Manila will depend on its ability to adapt to the local linguistic, technological, and regulatory landscape. Continuous engagement with local stakeholders and iterative improvements will be key to achieving this goal.</w:t>
      </w:r>
    </w:p>
    <w:bookmarkEnd w:id="29"/>
    <w:bookmarkStart w:id="32" w:name="appendices"/>
    <w:p>
      <w:pPr>
        <w:pStyle w:val="Heading2"/>
      </w:pPr>
      <w:r>
        <w:t xml:space="preserve">10. Appendices</w:t>
      </w:r>
    </w:p>
    <w:bookmarkStart w:id="30" w:name="appendix-a-user-testing-demographics"/>
    <w:p>
      <w:pPr>
        <w:pStyle w:val="Heading3"/>
      </w:pPr>
      <w:r>
        <w:t xml:space="preserve">Appendix A: User Testing Demographics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Age Group</w:t>
            </w:r>
          </w:p>
        </w:tc>
        <w:tc>
          <w:tcPr/>
          <w:p>
            <w:pPr>
              <w:pStyle w:val="Compact"/>
              <w:jc w:val="left"/>
            </w:pPr>
            <w:r>
              <w:t xml:space="preserve">Occupation</w:t>
            </w:r>
          </w:p>
        </w:tc>
        <w:tc>
          <w:tcPr/>
          <w:p>
            <w:pPr>
              <w:pStyle w:val="Compact"/>
              <w:jc w:val="left"/>
            </w:pPr>
            <w:r>
              <w:t xml:space="preserve">Digital Literacy Level</w:t>
            </w:r>
          </w:p>
        </w:tc>
      </w:tr>
      <w:tr>
        <w:tc>
          <w:tcPr/>
          <w:p>
            <w:pPr>
              <w:pStyle w:val="Compact"/>
              <w:jc w:val="left"/>
            </w:pPr>
            <w:r>
              <w:t xml:space="preserve">18-25</w:t>
            </w:r>
          </w:p>
        </w:tc>
        <w:tc>
          <w:tcPr/>
          <w:p>
            <w:pPr>
              <w:pStyle w:val="Compact"/>
              <w:jc w:val="left"/>
            </w:pPr>
            <w:r>
              <w:t xml:space="preserve">Students</w:t>
            </w:r>
          </w:p>
        </w:tc>
        <w:tc>
          <w:tcPr/>
          <w:p>
            <w:pPr>
              <w:pStyle w:val="Compact"/>
              <w:jc w:val="left"/>
            </w:pPr>
            <w:r>
              <w:t xml:space="preserve">High</w:t>
            </w:r>
          </w:p>
        </w:tc>
      </w:tr>
      <w:tr>
        <w:tc>
          <w:tcPr/>
          <w:p>
            <w:pPr>
              <w:pStyle w:val="Compact"/>
              <w:jc w:val="left"/>
            </w:pPr>
            <w:r>
              <w:t xml:space="preserve">26-40</w:t>
            </w:r>
          </w:p>
        </w:tc>
        <w:tc>
          <w:tcPr/>
          <w:p>
            <w:pPr>
              <w:pStyle w:val="Compact"/>
              <w:jc w:val="left"/>
            </w:pPr>
            <w:r>
              <w:t xml:space="preserve">Professionals</w:t>
            </w:r>
          </w:p>
        </w:tc>
        <w:tc>
          <w:tcPr/>
          <w:p>
            <w:pPr>
              <w:pStyle w:val="Compact"/>
              <w:jc w:val="left"/>
            </w:pPr>
            <w:r>
              <w:t xml:space="preserve">Medium to High</w:t>
            </w:r>
          </w:p>
        </w:tc>
      </w:tr>
      <w:tr>
        <w:tc>
          <w:tcPr/>
          <w:p>
            <w:pPr>
              <w:pStyle w:val="Compact"/>
              <w:jc w:val="left"/>
            </w:pPr>
            <w:r>
              <w:t xml:space="preserve">41-60</w:t>
            </w:r>
          </w:p>
        </w:tc>
        <w:tc>
          <w:tcPr/>
          <w:p>
            <w:pPr>
              <w:pStyle w:val="Compact"/>
              <w:jc w:val="left"/>
            </w:pPr>
            <w:r>
              <w:t xml:space="preserve">Business Owners</w:t>
            </w:r>
          </w:p>
        </w:tc>
        <w:tc>
          <w:tcPr/>
          <w:p>
            <w:pPr>
              <w:pStyle w:val="Compact"/>
              <w:jc w:val="left"/>
            </w:pPr>
            <w:r>
              <w:t xml:space="preserve">Low to Medium</w:t>
            </w:r>
          </w:p>
        </w:tc>
      </w:tr>
    </w:tbl>
    <w:bookmarkEnd w:id="30"/>
    <w:bookmarkStart w:id="31" w:name="appendix-b-regulatory-references"/>
    <w:p>
      <w:pPr>
        <w:pStyle w:val="Heading3"/>
      </w:pPr>
      <w:r>
        <w:t xml:space="preserve">Appendix B: Regulatory References</w:t>
      </w:r>
    </w:p>
    <w:p>
      <w:pPr>
        <w:numPr>
          <w:ilvl w:val="0"/>
          <w:numId w:val="1003"/>
        </w:numPr>
        <w:pStyle w:val="Compact"/>
      </w:pPr>
      <w:r>
        <w:t xml:space="preserve">Data Privacy Act of 2012 (Republic Act No. 10173)</w:t>
      </w:r>
    </w:p>
    <w:p>
      <w:pPr>
        <w:numPr>
          <w:ilvl w:val="0"/>
          <w:numId w:val="1003"/>
        </w:numPr>
        <w:pStyle w:val="Compact"/>
      </w:pPr>
      <w:r>
        <w:t xml:space="preserve">Magna Carta for Disabled Persons (Republic Act No. 7277)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Philippines Manila</dc:title>
  <dc:creator/>
  <dc:language>en</dc:language>
  <cp:keywords/>
  <dcterms:created xsi:type="dcterms:W3CDTF">2026-10-10T06:41:24Z</dcterms:created>
  <dcterms:modified xsi:type="dcterms:W3CDTF">2026-10-10T06:41:24Z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