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Education Administrator</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strategic alignment, and operational effectiveness of the Education Administrator within the educational landscape of Australia Melbourne. The review focuses on the administrator's ability to navigate the complex regulatory environment of the Victorian education system, manage institutional resources, and foster a supportive environment for both staff and students. The findings indicate a high level of competency in administrative governance, with specific recommendations for enhancing digital transformation and community engagement strategies.</w:t>
      </w:r>
    </w:p>
    <w:bookmarkEnd w:id="21"/>
    <w:bookmarkStart w:id="22" w:name="context-and-scope"/>
    <w:p>
      <w:pPr>
        <w:pStyle w:val="Heading2"/>
      </w:pPr>
      <w:r>
        <w:t xml:space="preserve">2. Context and Scope</w:t>
      </w:r>
    </w:p>
    <w:p>
      <w:pPr>
        <w:pStyle w:val="FirstParagraph"/>
      </w:pPr>
      <w:r>
        <w:t xml:space="preserve">The role of an Education Administrator in Australia Melbourne is pivotal. It requires a nuanced understanding of the Victorian Curriculum and Assessment Authority (VCAA) standards, the Department of Education Victoria guidelines, and the specific cultural and demographic needs of Melbourne's diverse population. This review assesses the subject's performance against these benchmarks, examining their contribution to institutional compliance, financial stewardship, and educational quality assurance.</w:t>
      </w:r>
    </w:p>
    <w:p>
      <w:pPr>
        <w:pStyle w:val="BodyText"/>
      </w:pPr>
      <w:r>
        <w:t xml:space="preserve">The scope of this peer review includes an analysis of policy implementation, stakeholder communication, resource allocation, and leadership in crisis management. It is designed to provide constructive feedback that aligns with the professional standards expected of educational leaders in Victoria.</w:t>
      </w:r>
    </w:p>
    <w:bookmarkEnd w:id="22"/>
    <w:bookmarkStart w:id="27" w:name="performance-analysis"/>
    <w:p>
      <w:pPr>
        <w:pStyle w:val="Heading2"/>
      </w:pPr>
      <w:r>
        <w:t xml:space="preserve">3. Performance Analysis</w:t>
      </w:r>
    </w:p>
    <w:bookmarkStart w:id="23" w:name="regulatory-compliance-and-governance"/>
    <w:p>
      <w:pPr>
        <w:pStyle w:val="Heading3"/>
      </w:pPr>
      <w:r>
        <w:t xml:space="preserve">3.1 Regulatory Compliance and Governance</w:t>
      </w:r>
    </w:p>
    <w:p>
      <w:pPr>
        <w:pStyle w:val="FirstParagraph"/>
      </w:pPr>
      <w:r>
        <w:t xml:space="preserve">The Education Administrator has demonstrated exceptional diligence in ensuring the institution remains compliant with all relevant Australian and Victorian regulations. This includes strict adherence to the Child Safe Standards mandated by the Office of the Children’s Guardian in Victoria. The administrator successfully led the annual audit process, resulting in zero non-conformities. Furthermore, their management of data privacy protocols under the Privacy Act 1988 (Cth) has been robust, ensuring the protection of student and staff information.</w:t>
      </w:r>
    </w:p>
    <w:bookmarkEnd w:id="23"/>
    <w:bookmarkStart w:id="24" w:name="Xbc1b2168ae09984648c4b0567d000aadde8df59"/>
    <w:p>
      <w:pPr>
        <w:pStyle w:val="Heading3"/>
      </w:pPr>
      <w:r>
        <w:t xml:space="preserve">3.2 Operational Efficiency and Resource Management</w:t>
      </w:r>
    </w:p>
    <w:p>
      <w:pPr>
        <w:pStyle w:val="FirstParagraph"/>
      </w:pPr>
      <w:r>
        <w:t xml:space="preserve">In terms of operational efficiency, the administrator has implemented streamlined processes for enrollment and student records management. This has significantly reduced administrative bottlenecks during the peak enrollment periods typical in Melbourne. Financial management has been prudent, with the administrator successfully negotiating vendor contracts that resulted in a 10% reduction in operational costs without compromising service quality. The allocation of resources has been equitable, ensuring that all departments, including special education and extracurricular programs, received adequate funding.</w:t>
      </w:r>
    </w:p>
    <w:bookmarkEnd w:id="24"/>
    <w:bookmarkStart w:id="25" w:name="stakeholder-engagement-and-communication"/>
    <w:p>
      <w:pPr>
        <w:pStyle w:val="Heading3"/>
      </w:pPr>
      <w:r>
        <w:t xml:space="preserve">3.3 Stakeholder Engagement and Communication</w:t>
      </w:r>
    </w:p>
    <w:p>
      <w:pPr>
        <w:pStyle w:val="FirstParagraph"/>
      </w:pPr>
      <w:r>
        <w:t xml:space="preserve">Effective communication is a cornerstone of the Education Administrator role. The subject has maintained open lines of communication with teachers, parents, and the broader community. Regular town hall meetings and newsletters have kept stakeholders informed about institutional changes and achievements. The administrator has also been proactive in engaging with local Melbourne community organizations to create partnerships that benefit students, such as internship programs and cultural exchange initiatives.</w:t>
      </w:r>
    </w:p>
    <w:bookmarkEnd w:id="25"/>
    <w:bookmarkStart w:id="26" w:name="leadership-and-professional-development"/>
    <w:p>
      <w:pPr>
        <w:pStyle w:val="Heading3"/>
      </w:pPr>
      <w:r>
        <w:t xml:space="preserve">3.4 Leadership and Professional Development</w:t>
      </w:r>
    </w:p>
    <w:p>
      <w:pPr>
        <w:pStyle w:val="FirstParagraph"/>
      </w:pPr>
      <w:r>
        <w:t xml:space="preserve">The administrator has fostered a culture of continuous improvement and professional development. They have organized workshops on the latest educational technologies and pedagogical strategies, aligning with the Victorian Professional Standards for Teachers. Their leadership style is collaborative, encouraging input from staff at all levels, which has contributed to high staff morale and retention rates.</w:t>
      </w:r>
    </w:p>
    <w:bookmarkEnd w:id="26"/>
    <w:bookmarkEnd w:id="27"/>
    <w:bookmarkStart w:id="28" w:name="areas-for-improvement"/>
    <w:p>
      <w:pPr>
        <w:pStyle w:val="Heading2"/>
      </w:pPr>
      <w:r>
        <w:t xml:space="preserve">4. Areas for Improvement</w:t>
      </w:r>
    </w:p>
    <w:p>
      <w:pPr>
        <w:pStyle w:val="FirstParagraph"/>
      </w:pPr>
      <w:r>
        <w:t xml:space="preserve">While the performance of the Education Administrator is commendable, there are areas where further development is recommended:</w:t>
      </w:r>
    </w:p>
    <w:p>
      <w:pPr>
        <w:numPr>
          <w:ilvl w:val="0"/>
          <w:numId w:val="1001"/>
        </w:numPr>
        <w:pStyle w:val="Compact"/>
      </w:pPr>
      <w:r>
        <w:rPr>
          <w:bCs/>
          <w:b/>
        </w:rPr>
        <w:t xml:space="preserve">Digital Transformation:</w:t>
      </w:r>
      <w:r>
        <w:t xml:space="preserve"> </w:t>
      </w:r>
      <w:r>
        <w:t xml:space="preserve">Accelerate the adoption of cloud-based administrative tools to enhance real-time data analytics and decision-making.</w:t>
      </w:r>
    </w:p>
    <w:p>
      <w:pPr>
        <w:numPr>
          <w:ilvl w:val="0"/>
          <w:numId w:val="1001"/>
        </w:numPr>
        <w:pStyle w:val="Compact"/>
      </w:pPr>
      <w:r>
        <w:rPr>
          <w:bCs/>
          <w:b/>
        </w:rPr>
        <w:t xml:space="preserve">Cultural Competency:</w:t>
      </w:r>
      <w:r>
        <w:t xml:space="preserve"> </w:t>
      </w:r>
      <w:r>
        <w:t xml:space="preserve">Given Melbourne’s multicultural demographic, further training in culturally responsive administrative practices would be beneficial to better serve diverse student populations.</w:t>
      </w:r>
    </w:p>
    <w:p>
      <w:pPr>
        <w:numPr>
          <w:ilvl w:val="0"/>
          <w:numId w:val="1001"/>
        </w:numPr>
        <w:pStyle w:val="Compact"/>
      </w:pPr>
      <w:r>
        <w:rPr>
          <w:bCs/>
          <w:b/>
        </w:rPr>
        <w:t xml:space="preserve">Sustainability Initiatives:</w:t>
      </w:r>
      <w:r>
        <w:t xml:space="preserve"> </w:t>
      </w:r>
      <w:r>
        <w:t xml:space="preserve">Integrate more robust environmental sustainability policies into the administrative framework, aligning with Victoria’s climate action goals.</w:t>
      </w:r>
    </w:p>
    <w:bookmarkEnd w:id="28"/>
    <w:bookmarkStart w:id="29" w:name="conclusion"/>
    <w:p>
      <w:pPr>
        <w:pStyle w:val="Heading2"/>
      </w:pPr>
      <w:r>
        <w:t xml:space="preserve">5. Conclusion</w:t>
      </w:r>
    </w:p>
    <w:p>
      <w:pPr>
        <w:pStyle w:val="FirstParagraph"/>
      </w:pPr>
      <w:r>
        <w:t xml:space="preserve">This Peer Review Report concludes that the Education Administrator is performing at a high level, meeting and often exceeding the expectations for their role in Australia Melbourne. Their commitment to regulatory compliance, operational excellence, and stakeholder engagement has significantly contributed to the institution’s success. By addressing the identified areas for improvement, the administrator can further enhance their effectiveness and continue to drive positive outcomes for the educational community.</w:t>
      </w:r>
    </w:p>
    <w:bookmarkEnd w:id="29"/>
    <w:p>
      <w:pPr>
        <w:pStyle w:val="BodyText"/>
      </w:pPr>
      <w:r>
        <w:rPr>
          <w:bCs/>
          <w:b/>
        </w:rPr>
        <w:t xml:space="preserve">Prepared by:</w:t>
      </w:r>
    </w:p>
    <w:p>
      <w:pPr>
        <w:pStyle w:val="BodyText"/>
      </w:pPr>
      <w:r>
        <w:t xml:space="preserve">Senior Peer Reviewer</w:t>
      </w:r>
    </w:p>
    <w:p>
      <w:pPr>
        <w:pStyle w:val="BodyText"/>
      </w:pPr>
      <w:r>
        <w:rPr>
          <w:bCs/>
          <w:b/>
        </w:rPr>
        <w:t xml:space="preserve">Reviewed by:</w:t>
      </w:r>
    </w:p>
    <w:p>
      <w:pPr>
        <w:pStyle w:val="BodyText"/>
      </w:pPr>
      <w:r>
        <w:t xml:space="preserve">Head of Educational Governance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2026-10-10T03:15:56Z</dcterms:created>
  <dcterms:modified xsi:type="dcterms:W3CDTF">2026-10-10T03:15:56Z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