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Education Administrator Performance Evaluation</w:t>
      </w:r>
    </w:p>
    <w:p>
      <w:pPr>
        <w:pStyle w:val="BodyText"/>
      </w:pPr>
      <w:r>
        <w:rPr>
          <w:bCs/>
          <w:b/>
        </w:rPr>
        <w:t xml:space="preserve">Location:</w:t>
      </w:r>
      <w:r>
        <w:t xml:space="preserve"> </w:t>
      </w:r>
      <w:r>
        <w:t xml:space="preserve">Colombia, Medellín</w:t>
      </w:r>
    </w:p>
    <w:bookmarkEnd w:id="20"/>
    <w:p>
      <w:pPr>
        <w:pStyle w:val="BodyText"/>
      </w:pPr>
      <w:r>
        <w:rPr>
          <w:bCs/>
          <w:b/>
        </w:rPr>
        <w:t xml:space="preserve">Date:</w:t>
      </w:r>
      <w:r>
        <w:t xml:space="preserve"> </w:t>
      </w:r>
      <w:r>
        <w:t xml:space="preserve">October 24, 2023</w:t>
      </w:r>
      <w:r>
        <w:br/>
      </w:r>
      <w:r>
        <w:rPr>
          <w:bCs/>
          <w:b/>
        </w:rPr>
        <w:t xml:space="preserve">Review Period:</w:t>
      </w:r>
      <w:r>
        <w:t xml:space="preserve"> </w:t>
      </w:r>
      <w:r>
        <w:t xml:space="preserve">January 2023 – September 2023</w:t>
      </w:r>
    </w:p>
    <w:p>
      <w:pPr>
        <w:pStyle w:val="BodyText"/>
      </w:pPr>
      <w:r>
        <w:rPr>
          <w:bCs/>
          <w:b/>
        </w:rPr>
        <w:t xml:space="preserve">Reviewer:</w:t>
      </w:r>
      <w:r>
        <w:t xml:space="preserve"> </w:t>
      </w:r>
      <w:r>
        <w:t xml:space="preserve">Senior Academic Council</w:t>
      </w:r>
      <w:r>
        <w:br/>
      </w:r>
      <w:r>
        <w:rPr>
          <w:bCs/>
          <w:b/>
        </w:rPr>
        <w:t xml:space="preserve">Institution:</w:t>
      </w:r>
      <w:r>
        <w:t xml:space="preserve"> </w:t>
      </w:r>
      <w:r>
        <w:t xml:space="preserve">Medellín Educational District</w:t>
      </w:r>
    </w:p>
    <w:bookmarkStart w:id="21" w:name="executive-summary"/>
    <w:p>
      <w:pPr>
        <w:pStyle w:val="Heading2"/>
      </w:pPr>
      <w:r>
        <w:t xml:space="preserve">1. Executive Summary</w:t>
      </w:r>
    </w:p>
    <w:p>
      <w:pPr>
        <w:pStyle w:val="FirstParagraph"/>
      </w:pPr>
      <w:r>
        <w:t xml:space="preserve">This Peer Review Report evaluates the professional performance, leadership capabilities, and strategic impact of the Education Administrator serving within the educational framework of Medellín, Colombia. The review focuses on the administrator's ability to navigate the unique socio-educational landscape of the city, align institutional goals with national standards set by the Ministry of National Education (MEN), and foster an inclusive environment for students and staff.</w:t>
      </w:r>
    </w:p>
    <w:p>
      <w:pPr>
        <w:pStyle w:val="BodyText"/>
      </w:pPr>
      <w:r>
        <w:t xml:space="preserve">The assessment indicates a high level of competence in operational management and community engagement. The administrator has demonstrated a clear understanding of the local context, particularly in addressing educational disparities in various comunas of Medellín. However, areas for improvement regarding digital transformation and long-term sustainability planning have been identified.</w:t>
      </w:r>
    </w:p>
    <w:bookmarkEnd w:id="21"/>
    <w:bookmarkStart w:id="22" w:name="X21f8e5d23348b6b7c9c617792c7c5bf8a5b3d55"/>
    <w:p>
      <w:pPr>
        <w:pStyle w:val="Heading2"/>
      </w:pPr>
      <w:r>
        <w:t xml:space="preserve">2. Contextual Alignment: Medellín and Colombia</w:t>
      </w:r>
    </w:p>
    <w:p>
      <w:pPr>
        <w:pStyle w:val="FirstParagraph"/>
      </w:pPr>
      <w:r>
        <w:t xml:space="preserve">The role of an Education Administrator in Medellín is distinct due to the city's rapid urban development and its history of social transformation through education. This review assesses how effectively the administrator leverages local initiatives, such as the "Ciudad de la Educación" (City of Education) model, to enhance learning outcomes.</w:t>
      </w:r>
    </w:p>
    <w:p>
      <w:pPr>
        <w:pStyle w:val="BodyText"/>
      </w:pPr>
      <w:r>
        <w:t xml:space="preserve">Key contextual factors considered include:</w:t>
      </w:r>
    </w:p>
    <w:p>
      <w:pPr>
        <w:numPr>
          <w:ilvl w:val="0"/>
          <w:numId w:val="1001"/>
        </w:numPr>
        <w:pStyle w:val="Compact"/>
      </w:pPr>
      <w:r>
        <w:rPr>
          <w:bCs/>
          <w:b/>
        </w:rPr>
        <w:t xml:space="preserve">Regulatory Compliance:</w:t>
      </w:r>
      <w:r>
        <w:t xml:space="preserve"> </w:t>
      </w:r>
      <w:r>
        <w:t xml:space="preserve">Adherence to Colombian Law 115 of 1994 (General Education Law) and Decree 1290 of 2009 regarding educational quality.</w:t>
      </w:r>
    </w:p>
    <w:p>
      <w:pPr>
        <w:numPr>
          <w:ilvl w:val="0"/>
          <w:numId w:val="1001"/>
        </w:numPr>
        <w:pStyle w:val="Compact"/>
      </w:pPr>
      <w:r>
        <w:rPr>
          <w:bCs/>
          <w:b/>
        </w:rPr>
        <w:t xml:space="preserve">Social Inclusion:</w:t>
      </w:r>
      <w:r>
        <w:t xml:space="preserve"> </w:t>
      </w:r>
      <w:r>
        <w:t xml:space="preserve">Strategies to support vulnerable populations, including displaced families and students from low-income neighborhoods.</w:t>
      </w:r>
    </w:p>
    <w:p>
      <w:pPr>
        <w:numPr>
          <w:ilvl w:val="0"/>
          <w:numId w:val="1001"/>
        </w:numPr>
        <w:pStyle w:val="Compact"/>
      </w:pPr>
      <w:r>
        <w:rPr>
          <w:bCs/>
          <w:b/>
        </w:rPr>
        <w:t xml:space="preserve">Community Integration:</w:t>
      </w:r>
      <w:r>
        <w:t xml:space="preserve"> </w:t>
      </w:r>
      <w:r>
        <w:t xml:space="preserve">Collaboration with local entities, such as the Medellín Metro system and cultural centers, to create holistic educational experiences.</w:t>
      </w:r>
    </w:p>
    <w:bookmarkEnd w:id="22"/>
    <w:bookmarkStart w:id="25" w:name="leadership-and-strategic-vision"/>
    <w:p>
      <w:pPr>
        <w:pStyle w:val="Heading2"/>
      </w:pPr>
      <w:r>
        <w:t xml:space="preserve">3. Leadership and Strategic Vision</w:t>
      </w:r>
    </w:p>
    <w:bookmarkStart w:id="23" w:name="vision-implementation"/>
    <w:p>
      <w:pPr>
        <w:pStyle w:val="Heading3"/>
      </w:pPr>
      <w:r>
        <w:t xml:space="preserve">3.1 Vision Implementation</w:t>
      </w:r>
    </w:p>
    <w:p>
      <w:pPr>
        <w:pStyle w:val="FirstParagraph"/>
      </w:pPr>
      <w:r>
        <w:t xml:space="preserve">The Education Administrator has successfully articulated a vision that aligns with the broader goals of the Antioquia Department's educational policies. The administrator prioritized teacher professional development, resulting in a 15% increase in staff participation in pedagogical training workshops over the review period. This proactive approach reflects a deep understanding of the need for continuous improvement in Colombian public education.</w:t>
      </w:r>
    </w:p>
    <w:bookmarkEnd w:id="23"/>
    <w:bookmarkStart w:id="24" w:name="decision-making"/>
    <w:p>
      <w:pPr>
        <w:pStyle w:val="Heading3"/>
      </w:pPr>
      <w:r>
        <w:t xml:space="preserve">3.2 Decision-Making</w:t>
      </w:r>
    </w:p>
    <w:p>
      <w:pPr>
        <w:pStyle w:val="FirstParagraph"/>
      </w:pPr>
      <w:r>
        <w:t xml:space="preserve">Decision-making processes were observed to be transparent and participatory. The administrator established a council comprising teachers, parents, and student representatives, ensuring that diverse voices from the Medellín community were heard. This democratic approach has strengthened trust between the institution and the local community, a critical factor in maintaining social cohesion in the region.</w:t>
      </w:r>
    </w:p>
    <w:bookmarkEnd w:id="24"/>
    <w:bookmarkEnd w:id="25"/>
    <w:bookmarkStart w:id="26" w:name="X39eb0dc792442d6f9e3a36c64535db4c3212d25"/>
    <w:p>
      <w:pPr>
        <w:pStyle w:val="Heading2"/>
      </w:pPr>
      <w:r>
        <w:t xml:space="preserve">4. Operational Management and Resource Allocation</w:t>
      </w:r>
    </w:p>
    <w:p>
      <w:pPr>
        <w:pStyle w:val="FirstParagraph"/>
      </w:pPr>
      <w:r>
        <w:t xml:space="preserve">Efficient resource management is crucial for an Education Administrator, particularly in a city with varying levels of infrastructure development. The review highlights the following achievements:</w:t>
      </w:r>
    </w:p>
    <w:p>
      <w:pPr>
        <w:numPr>
          <w:ilvl w:val="0"/>
          <w:numId w:val="1002"/>
        </w:numPr>
        <w:pStyle w:val="Compact"/>
      </w:pPr>
      <w:r>
        <w:rPr>
          <w:bCs/>
          <w:b/>
        </w:rPr>
        <w:t xml:space="preserve">Budget Optimization:</w:t>
      </w:r>
      <w:r>
        <w:t xml:space="preserve"> </w:t>
      </w:r>
      <w:r>
        <w:t xml:space="preserve">The administrator effectively allocated funds to improve classroom technology, ensuring equitable access to digital tools across different grade levels.</w:t>
      </w:r>
    </w:p>
    <w:p>
      <w:pPr>
        <w:numPr>
          <w:ilvl w:val="0"/>
          <w:numId w:val="1002"/>
        </w:numPr>
        <w:pStyle w:val="Compact"/>
      </w:pPr>
      <w:r>
        <w:rPr>
          <w:bCs/>
          <w:b/>
        </w:rPr>
        <w:t xml:space="preserve">Infrastructure Maintenance:</w:t>
      </w:r>
      <w:r>
        <w:t xml:space="preserve"> </w:t>
      </w:r>
      <w:r>
        <w:t xml:space="preserve">Collaborated with municipal authorities to repair and upgrade facilities in partnership with local construction firms, adhering to safety standards.</w:t>
      </w:r>
    </w:p>
    <w:p>
      <w:pPr>
        <w:numPr>
          <w:ilvl w:val="0"/>
          <w:numId w:val="1002"/>
        </w:numPr>
        <w:pStyle w:val="Compact"/>
      </w:pPr>
      <w:r>
        <w:rPr>
          <w:bCs/>
          <w:b/>
        </w:rPr>
        <w:t xml:space="preserve">Stakeholder Engagement:</w:t>
      </w:r>
      <w:r>
        <w:t xml:space="preserve"> </w:t>
      </w:r>
      <w:r>
        <w:t xml:space="preserve">Successfully secured additional funding through partnerships with private sector entities in Medellín, demonstrating strong networking skills.</w:t>
      </w:r>
    </w:p>
    <w:p>
      <w:pPr>
        <w:pStyle w:val="FirstParagraph"/>
      </w:pPr>
      <w:r>
        <w:t xml:space="preserve">However, the report notes that while short-term resource allocation was effective, long-term financial planning for infrastructure sustainability requires more robust strategies.</w:t>
      </w:r>
    </w:p>
    <w:bookmarkEnd w:id="26"/>
    <w:bookmarkStart w:id="27" w:name="educational-quality-and-student-outcomes"/>
    <w:p>
      <w:pPr>
        <w:pStyle w:val="Heading2"/>
      </w:pPr>
      <w:r>
        <w:t xml:space="preserve">5. Educational Quality and Student Outcomes</w:t>
      </w:r>
    </w:p>
    <w:p>
      <w:pPr>
        <w:pStyle w:val="FirstParagraph"/>
      </w:pPr>
      <w:r>
        <w:t xml:space="preserve">The primary metric for evaluating an Education Administrator is the impact on student learning. During the review period, the institution saw a notable improvement in ICFES (Saber 11) scores, particularly in mathematics and language arts. This success is attributed to the administrator's implementation of data-driven instructional strategies and targeted intervention programs for at-risk students.</w:t>
      </w:r>
    </w:p>
    <w:p>
      <w:pPr>
        <w:pStyle w:val="BodyText"/>
      </w:pPr>
      <w:r>
        <w:t xml:space="preserve">Furthermore, the administrator promoted extracurricular activities that align with Medellín's cultural identity, such as music, arts, and sports programs. These initiatives have contributed to improved student attendance and engagement, reflecting a holistic approach to education that values both academic and personal development.</w:t>
      </w:r>
    </w:p>
    <w:bookmarkEnd w:id="27"/>
    <w:bookmarkStart w:id="28" w:name="areas-for-improvement"/>
    <w:p>
      <w:pPr>
        <w:pStyle w:val="Heading2"/>
      </w:pPr>
      <w:r>
        <w:t xml:space="preserve">6. Areas for Improvement</w:t>
      </w:r>
    </w:p>
    <w:p>
      <w:pPr>
        <w:pStyle w:val="FirstParagraph"/>
      </w:pPr>
      <w:r>
        <w:t xml:space="preserve">Despite the positive outcomes, the Peer Review Report identifies several areas where the Education Administrator can enhance performance:</w:t>
      </w:r>
    </w:p>
    <w:p>
      <w:pPr>
        <w:numPr>
          <w:ilvl w:val="0"/>
          <w:numId w:val="1003"/>
        </w:numPr>
        <w:pStyle w:val="Compact"/>
      </w:pPr>
      <w:r>
        <w:rPr>
          <w:bCs/>
          <w:b/>
        </w:rPr>
        <w:t xml:space="preserve">Digital Transformation:</w:t>
      </w:r>
      <w:r>
        <w:t xml:space="preserve"> </w:t>
      </w:r>
      <w:r>
        <w:t xml:space="preserve">While technology integration has improved, there is a need for a more comprehensive digital strategy that includes teacher training on emerging educational technologies and cybersecurity protocols.</w:t>
      </w:r>
    </w:p>
    <w:p>
      <w:pPr>
        <w:numPr>
          <w:ilvl w:val="0"/>
          <w:numId w:val="1003"/>
        </w:numPr>
        <w:pStyle w:val="Compact"/>
      </w:pPr>
      <w:r>
        <w:rPr>
          <w:bCs/>
          <w:b/>
        </w:rPr>
        <w:t xml:space="preserve">Environmental Sustainability:</w:t>
      </w:r>
      <w:r>
        <w:t xml:space="preserve"> </w:t>
      </w:r>
      <w:r>
        <w:t xml:space="preserve">Given Medellín's commitment to green urbanism, the administrator should incorporate environmental education and sustainable practices into the school's operational framework.</w:t>
      </w:r>
    </w:p>
    <w:p>
      <w:pPr>
        <w:numPr>
          <w:ilvl w:val="0"/>
          <w:numId w:val="1003"/>
        </w:numPr>
        <w:pStyle w:val="Compact"/>
      </w:pPr>
      <w:r>
        <w:rPr>
          <w:bCs/>
          <w:b/>
        </w:rPr>
        <w:t xml:space="preserve">Conflict Resolution:</w:t>
      </w:r>
      <w:r>
        <w:t xml:space="preserve"> </w:t>
      </w:r>
      <w:r>
        <w:t xml:space="preserve">Although community relations are strong, the administrator could benefit from advanced training in conflict resolution to better handle complex interpersonal issues within the staff and student body.</w:t>
      </w:r>
    </w:p>
    <w:bookmarkEnd w:id="28"/>
    <w:bookmarkStart w:id="29" w:name="conclusion-and-recommendations"/>
    <w:p>
      <w:pPr>
        <w:pStyle w:val="Heading2"/>
      </w:pPr>
      <w:r>
        <w:t xml:space="preserve">7. Conclusion and Recommendations</w:t>
      </w:r>
    </w:p>
    <w:p>
      <w:pPr>
        <w:pStyle w:val="FirstParagraph"/>
      </w:pPr>
      <w:r>
        <w:t xml:space="preserve">In conclusion, the Education Administrator has demonstrated exceptional leadership and a deep commitment to improving educational outcomes in Medellín, Colombia. Their ability to navigate the local socio-political landscape while maintaining high educational standards is commendable. The administrator's efforts have not only enhanced academic performance but also strengthened the institution's role as a pillar of community development.</w:t>
      </w:r>
    </w:p>
    <w:p>
      <w:pPr>
        <w:pStyle w:val="BodyText"/>
      </w:pPr>
      <w:r>
        <w:rPr>
          <w:bCs/>
          <w:b/>
        </w:rPr>
        <w:t xml:space="preserve">Recommendations:</w:t>
      </w:r>
    </w:p>
    <w:p>
      <w:pPr>
        <w:numPr>
          <w:ilvl w:val="0"/>
          <w:numId w:val="1004"/>
        </w:numPr>
        <w:pStyle w:val="Compact"/>
      </w:pPr>
      <w:r>
        <w:t xml:space="preserve">Develop a five-year strategic plan focusing on digital innovation and environmental sustainability.</w:t>
      </w:r>
    </w:p>
    <w:p>
      <w:pPr>
        <w:numPr>
          <w:ilvl w:val="0"/>
          <w:numId w:val="1004"/>
        </w:numPr>
        <w:pStyle w:val="Compact"/>
      </w:pPr>
      <w:r>
        <w:t xml:space="preserve">Establish a mentorship program for emerging leaders within the educational staff.</w:t>
      </w:r>
    </w:p>
    <w:p>
      <w:pPr>
        <w:numPr>
          <w:ilvl w:val="0"/>
          <w:numId w:val="1004"/>
        </w:numPr>
        <w:pStyle w:val="Compact"/>
      </w:pPr>
      <w:r>
        <w:t xml:space="preserve">Continue fostering partnerships with local government and private sector stakeholders to secure long-term resources.</w:t>
      </w:r>
    </w:p>
    <w:p>
      <w:pPr>
        <w:pStyle w:val="FirstParagraph"/>
      </w:pPr>
      <w:r>
        <w:t xml:space="preserve">This Peer Review Report serves as a foundation for ongoing professional growth and institutional excellence. The Education Administrator is encouraged to embrace these recommendations to further elevate the quality of education in Medellín.</w:t>
      </w:r>
    </w:p>
    <w:bookmarkEnd w:id="29"/>
    <w:p>
      <w:pPr>
        <w:pStyle w:val="BodyText"/>
      </w:pPr>
      <w:r>
        <w:t xml:space="preserve">© 2023 Medellín Educational District. All rights reserved.</w:t>
      </w:r>
    </w:p>
    <w:p>
      <w:pPr>
        <w:pStyle w:val="BodyText"/>
      </w:pPr>
      <w:r>
        <w:t xml:space="preserve">This document is confidential and intended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dc:title>
  <dc:creator/>
  <dc:language>en</dc:language>
  <cp:keywords/>
  <dcterms:created xsi:type="dcterms:W3CDTF">2026-10-10T04:19:32Z</dcterms:created>
  <dcterms:modified xsi:type="dcterms:W3CDTF">2026-10-10T04:19:32Z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