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Munich,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leadership capabilities, and administrative efficiency of the Education Administrator serving within the educational framework of Munich, Germany. The review process involved a comprehensive analysis of operational strategies, stakeholder engagement, compliance with Bavarian educational standards, and the implementation of digital transformation initiatives. The findings indicate a high level of competence, strategic foresight, and adaptability, particularly in navigating the unique cultural and regulatory landscape of Munich’s public and private educational institutions.</w:t>
      </w:r>
    </w:p>
    <w:bookmarkEnd w:id="21"/>
    <w:bookmarkStart w:id="22" w:name="context-and-scope"/>
    <w:p>
      <w:pPr>
        <w:pStyle w:val="Heading2"/>
      </w:pPr>
      <w:r>
        <w:t xml:space="preserve">2. Context and Scope</w:t>
      </w:r>
    </w:p>
    <w:p>
      <w:pPr>
        <w:pStyle w:val="FirstParagraph"/>
      </w:pPr>
      <w:r>
        <w:t xml:space="preserve">The role of an Education Administrator in Munich is pivotal due to the city’s status as a major cultural, economic, and educational hub in Germany. The review focuses on the administrator’s ability to manage resources, support pedagogical excellence, and foster inclusive learning environments. Key areas of assessment include curriculum alignment with the Bavarian State Ministry of Education, staff development, budget management, and community relations. The review also considers the administrator’s contribution to internationalization efforts, given Munich’s diverse population and global outlook.</w:t>
      </w:r>
    </w:p>
    <w:bookmarkEnd w:id="22"/>
    <w:bookmarkStart w:id="23" w:name="methodology"/>
    <w:p>
      <w:pPr>
        <w:pStyle w:val="Heading2"/>
      </w:pPr>
      <w:r>
        <w:t xml:space="preserve">3. Methodology</w:t>
      </w:r>
    </w:p>
    <w:p>
      <w:pPr>
        <w:pStyle w:val="FirstParagraph"/>
      </w:pPr>
      <w:r>
        <w:t xml:space="preserve">The peer review was conducted through a multi-faceted approach, including:</w:t>
      </w:r>
    </w:p>
    <w:p>
      <w:pPr>
        <w:numPr>
          <w:ilvl w:val="0"/>
          <w:numId w:val="1001"/>
        </w:numPr>
        <w:pStyle w:val="Compact"/>
      </w:pPr>
      <w:r>
        <w:t xml:space="preserve">Structured interviews with teachers, school leaders, and support staff.</w:t>
      </w:r>
    </w:p>
    <w:p>
      <w:pPr>
        <w:numPr>
          <w:ilvl w:val="0"/>
          <w:numId w:val="1001"/>
        </w:numPr>
        <w:pStyle w:val="Compact"/>
      </w:pPr>
      <w:r>
        <w:t xml:space="preserve">Analysis of administrative records, financial reports, and policy documents.</w:t>
      </w:r>
    </w:p>
    <w:p>
      <w:pPr>
        <w:numPr>
          <w:ilvl w:val="0"/>
          <w:numId w:val="1001"/>
        </w:numPr>
        <w:pStyle w:val="Compact"/>
      </w:pPr>
      <w:r>
        <w:t xml:space="preserve">Observation of administrative meetings and decision-making processes.</w:t>
      </w:r>
    </w:p>
    <w:p>
      <w:pPr>
        <w:numPr>
          <w:ilvl w:val="0"/>
          <w:numId w:val="1001"/>
        </w:numPr>
        <w:pStyle w:val="Compact"/>
      </w:pPr>
      <w:r>
        <w:t xml:space="preserve">Feedback from parents, students, and external partners.</w:t>
      </w:r>
    </w:p>
    <w:p>
      <w:pPr>
        <w:numPr>
          <w:ilvl w:val="0"/>
          <w:numId w:val="1001"/>
        </w:numPr>
        <w:pStyle w:val="Compact"/>
      </w:pPr>
      <w:r>
        <w:t xml:space="preserve">Comparison of performance metrics against regional benchmarks in Bavaria.</w:t>
      </w:r>
    </w:p>
    <w:bookmarkEnd w:id="23"/>
    <w:bookmarkStart w:id="29" w:name="key-findings"/>
    <w:p>
      <w:pPr>
        <w:pStyle w:val="Heading2"/>
      </w:pPr>
      <w:r>
        <w:t xml:space="preserve">4. Key Findings</w:t>
      </w:r>
    </w:p>
    <w:bookmarkStart w:id="24" w:name="strategic-leadership-and-vision"/>
    <w:p>
      <w:pPr>
        <w:pStyle w:val="Heading3"/>
      </w:pPr>
      <w:r>
        <w:t xml:space="preserve">4.1 Strategic Leadership and Vision</w:t>
      </w:r>
    </w:p>
    <w:p>
      <w:pPr>
        <w:pStyle w:val="FirstParagraph"/>
      </w:pPr>
      <w:r>
        <w:t xml:space="preserve">The Education Administrator has demonstrated strong strategic leadership by aligning institutional goals with the broader educational objectives of Munich and Bavaria. Initiatives to enhance STEM education, promote bilingual programs, and integrate sustainability into the curriculum reflect a forward-thinking approach. The administrator’s vision has been instrumental in positioning the institution as a leader in innovative educational practices within the region.</w:t>
      </w:r>
    </w:p>
    <w:bookmarkEnd w:id="24"/>
    <w:bookmarkStart w:id="25" w:name="Xbc1b2168ae09984648c4b0567d000aadde8df59"/>
    <w:p>
      <w:pPr>
        <w:pStyle w:val="Heading3"/>
      </w:pPr>
      <w:r>
        <w:t xml:space="preserve">4.2 Operational Efficiency and Resource Management</w:t>
      </w:r>
    </w:p>
    <w:p>
      <w:pPr>
        <w:pStyle w:val="FirstParagraph"/>
      </w:pPr>
      <w:r>
        <w:t xml:space="preserve">Efficient management of resources has been a standout achievement. The administrator has optimized budget allocation, ensuring that funds are directed toward high-impact areas such as teacher training, technology upgrades, and student support services. The implementation of digital tools for administrative tasks has streamlined processes, reduced paperwork, and improved transparency.</w:t>
      </w:r>
    </w:p>
    <w:bookmarkEnd w:id="25"/>
    <w:bookmarkStart w:id="26" w:name="stakeholder-engagement-and-communication"/>
    <w:p>
      <w:pPr>
        <w:pStyle w:val="Heading3"/>
      </w:pPr>
      <w:r>
        <w:t xml:space="preserve">4.3 Stakeholder Engagement and Communication</w:t>
      </w:r>
    </w:p>
    <w:p>
      <w:pPr>
        <w:pStyle w:val="FirstParagraph"/>
      </w:pPr>
      <w:r>
        <w:t xml:space="preserve">Effective communication with stakeholders is critical in Munich’s multicultural environment. The administrator has excelled in building trust and collaboration with teachers, parents, local authorities, and community organizations. Regular town hall meetings, newsletters, and digital platforms have been utilized to keep stakeholders informed and engaged. The administrator’s ability to navigate language and cultural differences has been particularly commendable.</w:t>
      </w:r>
    </w:p>
    <w:bookmarkEnd w:id="26"/>
    <w:bookmarkStart w:id="27" w:name="compliance-and-quality-assurance"/>
    <w:p>
      <w:pPr>
        <w:pStyle w:val="Heading3"/>
      </w:pPr>
      <w:r>
        <w:t xml:space="preserve">4.4 Compliance and Quality Assurance</w:t>
      </w:r>
    </w:p>
    <w:p>
      <w:pPr>
        <w:pStyle w:val="FirstParagraph"/>
      </w:pPr>
      <w:r>
        <w:t xml:space="preserve">Adherence to Bavarian educational regulations and quality standards has been consistently maintained. The administrator has ensured that all programs and practices comply with legal requirements while also striving for excellence. Internal audits and external evaluations have yielded positive results, highlighting the institution’s commitment to continuous improvement.</w:t>
      </w:r>
    </w:p>
    <w:bookmarkEnd w:id="27"/>
    <w:bookmarkStart w:id="28" w:name="X49e061203c199849d35a155436955a3b98c73c2"/>
    <w:p>
      <w:pPr>
        <w:pStyle w:val="Heading3"/>
      </w:pPr>
      <w:r>
        <w:t xml:space="preserve">4.5 Professional Development and Staff Support</w:t>
      </w:r>
    </w:p>
    <w:p>
      <w:pPr>
        <w:pStyle w:val="FirstParagraph"/>
      </w:pPr>
      <w:r>
        <w:t xml:space="preserve">The administrator has prioritized the professional growth of staff members by organizing workshops, seminars, and mentoring programs. These efforts have contributed to a motivated and skilled workforce capable of addressing the evolving needs of students. The emphasis on collaborative learning and peer feedback has fostered a positive organizational culture.</w:t>
      </w:r>
    </w:p>
    <w:bookmarkEnd w:id="28"/>
    <w:bookmarkEnd w:id="29"/>
    <w:bookmarkStart w:id="30" w:name="areas-for-improvement"/>
    <w:p>
      <w:pPr>
        <w:pStyle w:val="Heading2"/>
      </w:pPr>
      <w:r>
        <w:t xml:space="preserve">5. Areas for Improvement</w:t>
      </w:r>
    </w:p>
    <w:p>
      <w:pPr>
        <w:pStyle w:val="FirstParagraph"/>
      </w:pPr>
      <w:r>
        <w:t xml:space="preserve">While the overall performance is exemplary, the following areas have been identified for further development:</w:t>
      </w:r>
    </w:p>
    <w:p>
      <w:pPr>
        <w:numPr>
          <w:ilvl w:val="0"/>
          <w:numId w:val="1002"/>
        </w:numPr>
        <w:pStyle w:val="Compact"/>
      </w:pPr>
      <w:r>
        <w:t xml:space="preserve">Enhancing data-driven decision-making by leveraging advanced analytics tools.</w:t>
      </w:r>
    </w:p>
    <w:p>
      <w:pPr>
        <w:numPr>
          <w:ilvl w:val="0"/>
          <w:numId w:val="1002"/>
        </w:numPr>
        <w:pStyle w:val="Compact"/>
      </w:pPr>
      <w:r>
        <w:t xml:space="preserve">Strengthening partnerships with local businesses and universities to create more internship and apprenticeship opportunities for students.</w:t>
      </w:r>
    </w:p>
    <w:p>
      <w:pPr>
        <w:numPr>
          <w:ilvl w:val="0"/>
          <w:numId w:val="1002"/>
        </w:numPr>
        <w:pStyle w:val="Compact"/>
      </w:pPr>
      <w:r>
        <w:t xml:space="preserve">Increasing focus on mental health and well-being programs for both students and staff.</w:t>
      </w:r>
    </w:p>
    <w:p>
      <w:pPr>
        <w:numPr>
          <w:ilvl w:val="0"/>
          <w:numId w:val="1002"/>
        </w:numPr>
        <w:pStyle w:val="Compact"/>
      </w:pPr>
      <w:r>
        <w:t xml:space="preserve">Expanding outreach efforts to underrepresented communities in Munich to promote greater inclusivity.</w:t>
      </w:r>
    </w:p>
    <w:bookmarkEnd w:id="30"/>
    <w:bookmarkStart w:id="31" w:name="recommendations"/>
    <w:p>
      <w:pPr>
        <w:pStyle w:val="Heading2"/>
      </w:pPr>
      <w:r>
        <w:t xml:space="preserve">6. Recommendations</w:t>
      </w:r>
    </w:p>
    <w:p>
      <w:pPr>
        <w:pStyle w:val="FirstParagraph"/>
      </w:pPr>
      <w:r>
        <w:t xml:space="preserve">Based on the findings, the following recommendations are proposed:</w:t>
      </w:r>
    </w:p>
    <w:p>
      <w:pPr>
        <w:numPr>
          <w:ilvl w:val="0"/>
          <w:numId w:val="1003"/>
        </w:numPr>
        <w:pStyle w:val="Compact"/>
      </w:pPr>
      <w:r>
        <w:t xml:space="preserve">Invest in professional development for the administrator in the areas of data analytics and strategic planning.</w:t>
      </w:r>
    </w:p>
    <w:p>
      <w:pPr>
        <w:numPr>
          <w:ilvl w:val="0"/>
          <w:numId w:val="1003"/>
        </w:numPr>
        <w:pStyle w:val="Compact"/>
      </w:pPr>
      <w:r>
        <w:t xml:space="preserve">Establish a dedicated task force to explore and implement innovative partnerships with local industries.</w:t>
      </w:r>
    </w:p>
    <w:p>
      <w:pPr>
        <w:numPr>
          <w:ilvl w:val="0"/>
          <w:numId w:val="1003"/>
        </w:numPr>
        <w:pStyle w:val="Compact"/>
      </w:pPr>
      <w:r>
        <w:t xml:space="preserve">Allocate additional resources to mental health initiatives, including hiring specialized counselors and organizing awareness campaigns.</w:t>
      </w:r>
    </w:p>
    <w:p>
      <w:pPr>
        <w:numPr>
          <w:ilvl w:val="0"/>
          <w:numId w:val="1003"/>
        </w:numPr>
        <w:pStyle w:val="Compact"/>
      </w:pPr>
      <w:r>
        <w:t xml:space="preserve">Develop targeted outreach programs to engage with diverse communities and ensure equitable access to educational opportunities.</w:t>
      </w:r>
    </w:p>
    <w:bookmarkEnd w:id="31"/>
    <w:bookmarkStart w:id="32" w:name="conclusion"/>
    <w:p>
      <w:pPr>
        <w:pStyle w:val="Heading2"/>
      </w:pPr>
      <w:r>
        <w:t xml:space="preserve">7. Conclusion</w:t>
      </w:r>
    </w:p>
    <w:p>
      <w:pPr>
        <w:pStyle w:val="FirstParagraph"/>
      </w:pPr>
      <w:r>
        <w:t xml:space="preserve">This Peer Review Report affirms the Education Administrator’s exceptional performance and dedication to advancing educational excellence in Munich, Germany. The administrator’s leadership, strategic vision, and commitment to stakeholder engagement have significantly contributed to the institution’s success. By addressing the identified areas for improvement and implementing the recommended actions, the administrator is well-positioned to continue driving positive change and maintaining the institution’s reputation as a leader in education.</w:t>
      </w:r>
    </w:p>
    <w:bookmarkEnd w:id="32"/>
    <w:p>
      <w:pPr>
        <w:pStyle w:val="BodyText"/>
      </w:pPr>
      <w:r>
        <w:rPr>
          <w:bCs/>
          <w:b/>
        </w:rPr>
        <w:t xml:space="preserve">Prepared by:</w:t>
      </w:r>
    </w:p>
    <w:p>
      <w:pPr>
        <w:pStyle w:val="BodyText"/>
      </w:pPr>
      <w:r>
        <w:t xml:space="preserve">Dr. Hans Müller</w:t>
      </w:r>
    </w:p>
    <w:p>
      <w:pPr>
        <w:pStyle w:val="BodyText"/>
      </w:pPr>
      <w:r>
        <w:t xml:space="preserve">Senior Peer Reviewer</w:t>
      </w:r>
    </w:p>
    <w:p>
      <w:pPr>
        <w:pStyle w:val="BodyText"/>
      </w:pPr>
      <w:r>
        <w:t xml:space="preserve">Munich Educational Review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Munich, Germany</dc:title>
  <dc:creator/>
  <dc:language>en</dc:language>
  <cp:keywords/>
  <dcterms:created xsi:type="dcterms:W3CDTF">2026-10-10T01:22:32Z</dcterms:created>
  <dcterms:modified xsi:type="dcterms:W3CDTF">2026-10-10T01:22:32Z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