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Education Administrator</w:t>
      </w:r>
    </w:p>
    <w:p>
      <w:pPr>
        <w:pStyle w:val="BodyText"/>
      </w:pPr>
      <w:r>
        <w:rPr>
          <w:bCs/>
          <w:b/>
        </w:rPr>
        <w:t xml:space="preserve">Location:</w:t>
      </w:r>
      <w:r>
        <w:t xml:space="preserve"> </w:t>
      </w:r>
      <w:r>
        <w:t xml:space="preserve">Almaty, Kazakhstan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leadership capabilities, and strategic impact of the Education Administrator serving within the municipal educational framework of Almaty, Kazakhstan. The review process involved a comprehensive analysis of administrative records, stakeholder interviews, and direct observation of operational procedures. The primary objective is to evaluate how effectively the administrator aligns institutional goals with the national educational standards set by the Ministry of Education and Science of the Republic of Kazakhstan, while addressing the specific socio-cultural and logistical needs of the Almaty region.</w:t>
      </w:r>
    </w:p>
    <w:p>
      <w:pPr>
        <w:pStyle w:val="BodyText"/>
      </w:pPr>
      <w:r>
        <w:t xml:space="preserve">Overall, the Education Administrator has demonstrated a high level of competence in managing complex educational ecosystems. The review highlights significant strides in digital transformation and curriculum modernization, which are critical priorities for Almaty’s rapidly evolving educational landscape. However, the report also identifies areas requiring improvement, particularly regarding inter-departmental communication and the equitable distribution of resources across diverse districts within the city.</w:t>
      </w:r>
    </w:p>
    <w:bookmarkEnd w:id="21"/>
    <w:bookmarkStart w:id="22" w:name="X16e32e5db2216ceffd19cc0b73c52013f2c37f8"/>
    <w:p>
      <w:pPr>
        <w:pStyle w:val="Heading2"/>
      </w:pPr>
      <w:r>
        <w:t xml:space="preserve">2. Contextual Background: The Almaty Educational Landscape</w:t>
      </w:r>
    </w:p>
    <w:p>
      <w:pPr>
        <w:pStyle w:val="FirstParagraph"/>
      </w:pPr>
      <w:r>
        <w:t xml:space="preserve">Almaty, as the cultural and economic hub of Kazakhstan, presents unique challenges and opportunities for educational leadership. The city is characterized by a diverse student population, a mix of traditional public schools and modern international institutions, and a strong push toward bilingual education (Kazakh and Russian) alongside English language proficiency. The Education Administrator operates within this dynamic environment, tasked with bridging the gap between federal mandates and local implementation.</w:t>
      </w:r>
    </w:p>
    <w:p>
      <w:pPr>
        <w:pStyle w:val="BodyText"/>
      </w:pPr>
      <w:r>
        <w:t xml:space="preserve">The role requires not only administrative acumen but also cultural sensitivity and an understanding of the specific demographic pressures in Almaty, such as high population density in certain districts and the integration of migrant students. This review evaluates the administrator’s ability to navigate these complexities while fostering an inclusive and high-performing educational environment.</w:t>
      </w:r>
    </w:p>
    <w:bookmarkEnd w:id="22"/>
    <w:bookmarkStart w:id="27" w:name="evaluation-of-core-competencies"/>
    <w:p>
      <w:pPr>
        <w:pStyle w:val="Heading2"/>
      </w:pPr>
      <w:r>
        <w:t xml:space="preserve">3. Evaluation of Core Competencies</w:t>
      </w:r>
    </w:p>
    <w:bookmarkStart w:id="23" w:name="strategic-leadership-and-vision"/>
    <w:p>
      <w:pPr>
        <w:pStyle w:val="Heading3"/>
      </w:pPr>
      <w:r>
        <w:t xml:space="preserve">3.1 Strategic Leadership and Vision</w:t>
      </w:r>
    </w:p>
    <w:p>
      <w:pPr>
        <w:pStyle w:val="FirstParagraph"/>
      </w:pPr>
      <w:r>
        <w:t xml:space="preserve">The Education Administrator has shown a clear commitment to the "Digital Kazakhstan" initiative. During the review period, the administrator successfully oversaw the integration of new learning management systems across multiple schools in Almaty. This strategic move has enhanced accessibility for students and streamlined administrative workflows. The administrator’s vision aligns well with the national goal of modernizing education, demonstrating an ability to anticipate future trends in EdTech and pedagogical practices.</w:t>
      </w:r>
    </w:p>
    <w:bookmarkEnd w:id="23"/>
    <w:bookmarkStart w:id="24" w:name="X39eb0dc792442d6f9e3a36c64535db4c3212d25"/>
    <w:p>
      <w:pPr>
        <w:pStyle w:val="Heading3"/>
      </w:pPr>
      <w:r>
        <w:t xml:space="preserve">3.2 Operational Management and Resource Allocation</w:t>
      </w:r>
    </w:p>
    <w:p>
      <w:pPr>
        <w:pStyle w:val="FirstParagraph"/>
      </w:pPr>
      <w:r>
        <w:t xml:space="preserve">In terms of operational efficiency, the administrator has maintained a stable budgetary framework despite inflationary pressures. However, the peer review panel noted inconsistencies in resource allocation between central Almaty schools and those in peripheral districts. While central institutions have benefited from upgraded facilities and technology, peripheral schools report delays in infrastructure maintenance. The administrator must develop a more equitable distribution model to ensure that all students in Almaty, regardless of their district, have access to quality educational resources.</w:t>
      </w:r>
    </w:p>
    <w:bookmarkEnd w:id="24"/>
    <w:bookmarkStart w:id="25" w:name="stakeholder-engagement-and-communication"/>
    <w:p>
      <w:pPr>
        <w:pStyle w:val="Heading3"/>
      </w:pPr>
      <w:r>
        <w:t xml:space="preserve">3.3 Stakeholder Engagement and Communication</w:t>
      </w:r>
    </w:p>
    <w:p>
      <w:pPr>
        <w:pStyle w:val="FirstParagraph"/>
      </w:pPr>
      <w:r>
        <w:t xml:space="preserve">Effective communication is vital for an Education Administrator in a multicultural city like Almaty. The administrator has established regular forums with school principals and teachers, fostering a collaborative environment. Feedback from these stakeholders indicates a high level of respect for the administrator’s approachability and problem-solving skills. However, engagement with parents and local community organizations could be strengthened. The review suggests implementing more transparent channels for community feedback to build greater trust and support for educational initiatives.</w:t>
      </w:r>
    </w:p>
    <w:bookmarkEnd w:id="25"/>
    <w:bookmarkStart w:id="26" w:name="compliance-and-regulatory-adherence"/>
    <w:p>
      <w:pPr>
        <w:pStyle w:val="Heading3"/>
      </w:pPr>
      <w:r>
        <w:t xml:space="preserve">3.4 Compliance and Regulatory Adherence</w:t>
      </w:r>
    </w:p>
    <w:p>
      <w:pPr>
        <w:pStyle w:val="FirstParagraph"/>
      </w:pPr>
      <w:r>
        <w:t xml:space="preserve">The administrator has ensured strict compliance with the laws of the Republic of Kazakhstan regarding education. All audits conducted during the review period revealed no significant violations. The administrator’s diligence in maintaining regulatory standards is commendable and provides a solid foundation for the institution’s credibility and operational integrity.</w:t>
      </w:r>
    </w:p>
    <w:bookmarkEnd w:id="26"/>
    <w:bookmarkEnd w:id="27"/>
    <w:bookmarkStart w:id="28" w:name="strengths-and-achievements"/>
    <w:p>
      <w:pPr>
        <w:pStyle w:val="Heading2"/>
      </w:pPr>
      <w:r>
        <w:t xml:space="preserve">4. Strengths and Achievements</w:t>
      </w:r>
    </w:p>
    <w:p>
      <w:pPr>
        <w:numPr>
          <w:ilvl w:val="0"/>
          <w:numId w:val="1001"/>
        </w:numPr>
        <w:pStyle w:val="Compact"/>
      </w:pPr>
      <w:r>
        <w:rPr>
          <w:bCs/>
          <w:b/>
        </w:rPr>
        <w:t xml:space="preserve">Digital Innovation:</w:t>
      </w:r>
      <w:r>
        <w:t xml:space="preserve"> </w:t>
      </w:r>
      <w:r>
        <w:t xml:space="preserve">Successful implementation of smart classroom technologies in 40% of Almaty schools under jurisdiction.</w:t>
      </w:r>
    </w:p>
    <w:p>
      <w:pPr>
        <w:numPr>
          <w:ilvl w:val="0"/>
          <w:numId w:val="1001"/>
        </w:numPr>
        <w:pStyle w:val="Compact"/>
      </w:pPr>
      <w:r>
        <w:rPr>
          <w:bCs/>
          <w:b/>
        </w:rPr>
        <w:t xml:space="preserve">Teacher Development:</w:t>
      </w:r>
      <w:r>
        <w:t xml:space="preserve"> </w:t>
      </w:r>
      <w:r>
        <w:t xml:space="preserve">Initiated professional development workshops focused on modern pedagogical methods and bilingual instruction.</w:t>
      </w:r>
    </w:p>
    <w:p>
      <w:pPr>
        <w:numPr>
          <w:ilvl w:val="0"/>
          <w:numId w:val="1001"/>
        </w:numPr>
        <w:pStyle w:val="Compact"/>
      </w:pPr>
      <w:r>
        <w:rPr>
          <w:bCs/>
          <w:b/>
        </w:rPr>
        <w:t xml:space="preserve">Crisis Management:</w:t>
      </w:r>
      <w:r>
        <w:t xml:space="preserve"> </w:t>
      </w:r>
      <w:r>
        <w:t xml:space="preserve">Demonstrated effective leadership during recent seasonal health crises, ensuring minimal disruption to the academic calendar.</w:t>
      </w:r>
    </w:p>
    <w:p>
      <w:pPr>
        <w:numPr>
          <w:ilvl w:val="0"/>
          <w:numId w:val="1001"/>
        </w:numPr>
        <w:pStyle w:val="Compact"/>
      </w:pPr>
      <w:r>
        <w:rPr>
          <w:bCs/>
          <w:b/>
        </w:rPr>
        <w:t xml:space="preserve">International Collaboration:</w:t>
      </w:r>
      <w:r>
        <w:t xml:space="preserve"> </w:t>
      </w:r>
      <w:r>
        <w:t xml:space="preserve">Facilitated partnerships with educational institutions abroad, enhancing the global outlook of Almaty’s student body.</w:t>
      </w:r>
    </w:p>
    <w:bookmarkEnd w:id="28"/>
    <w:bookmarkStart w:id="29" w:name="Xda79409093af40bd3d15ed7d2a5582dbca223f1"/>
    <w:p>
      <w:pPr>
        <w:pStyle w:val="Heading2"/>
      </w:pPr>
      <w:r>
        <w:t xml:space="preserve">5. Areas for Improvement and Recommendations</w:t>
      </w:r>
    </w:p>
    <w:p>
      <w:pPr>
        <w:pStyle w:val="FirstParagraph"/>
      </w:pPr>
      <w:r>
        <w:t xml:space="preserve">To further enhance the effectiveness of the Education Administrator’s role, the following recommendations are proposed:</w:t>
      </w:r>
    </w:p>
    <w:p>
      <w:pPr>
        <w:numPr>
          <w:ilvl w:val="0"/>
          <w:numId w:val="1002"/>
        </w:numPr>
        <w:pStyle w:val="Compact"/>
      </w:pPr>
      <w:r>
        <w:rPr>
          <w:bCs/>
          <w:b/>
        </w:rPr>
        <w:t xml:space="preserve">Equity in Resource Distribution:</w:t>
      </w:r>
      <w:r>
        <w:t xml:space="preserve"> </w:t>
      </w:r>
      <w:r>
        <w:t xml:space="preserve">Develop a data-driven strategy to ensure that schools in less affluent districts of Almaty receive proportional support in terms of funding, technology, and infrastructure.</w:t>
      </w:r>
    </w:p>
    <w:p>
      <w:pPr>
        <w:numPr>
          <w:ilvl w:val="0"/>
          <w:numId w:val="1002"/>
        </w:numPr>
        <w:pStyle w:val="Compact"/>
      </w:pPr>
      <w:r>
        <w:rPr>
          <w:bCs/>
          <w:b/>
        </w:rPr>
        <w:t xml:space="preserve">Community Involvement:</w:t>
      </w:r>
      <w:r>
        <w:t xml:space="preserve"> </w:t>
      </w:r>
      <w:r>
        <w:t xml:space="preserve">Establish a formal advisory board comprising parents, local business leaders, and community representatives to provide ongoing feedback and support.</w:t>
      </w:r>
    </w:p>
    <w:p>
      <w:pPr>
        <w:numPr>
          <w:ilvl w:val="0"/>
          <w:numId w:val="1002"/>
        </w:numPr>
        <w:pStyle w:val="Compact"/>
      </w:pPr>
      <w:r>
        <w:rPr>
          <w:bCs/>
          <w:b/>
        </w:rPr>
        <w:t xml:space="preserve">Staff Retention Strategies:</w:t>
      </w:r>
      <w:r>
        <w:t xml:space="preserve"> </w:t>
      </w:r>
      <w:r>
        <w:t xml:space="preserve">Address concerns regarding teacher burnout by implementing wellness programs and competitive incentive structures to retain top talent in the Almaty education sector.</w:t>
      </w:r>
    </w:p>
    <w:p>
      <w:pPr>
        <w:numPr>
          <w:ilvl w:val="0"/>
          <w:numId w:val="1002"/>
        </w:numPr>
        <w:pStyle w:val="Compact"/>
      </w:pPr>
      <w:r>
        <w:rPr>
          <w:bCs/>
          <w:b/>
        </w:rPr>
        <w:t xml:space="preserve">Enhanced Reporting Mechanisms:</w:t>
      </w:r>
      <w:r>
        <w:t xml:space="preserve"> </w:t>
      </w:r>
      <w:r>
        <w:t xml:space="preserve">Improve the transparency of administrative decisions through regular public reports and digital dashboards accessible to all stakeholders.</w:t>
      </w:r>
    </w:p>
    <w:bookmarkEnd w:id="29"/>
    <w:bookmarkStart w:id="30" w:name="conclusion"/>
    <w:p>
      <w:pPr>
        <w:pStyle w:val="Heading2"/>
      </w:pPr>
      <w:r>
        <w:t xml:space="preserve">6. Conclusion</w:t>
      </w:r>
    </w:p>
    <w:p>
      <w:pPr>
        <w:pStyle w:val="FirstParagraph"/>
      </w:pPr>
      <w:r>
        <w:t xml:space="preserve">This Peer Review Report concludes that the Education Administrator in Almaty, Kazakhstan, is performing at a proficient level, with notable strengths in strategic vision and digital transformation. The administrator’s efforts have contributed positively to the modernization of the local education system. However, to achieve excellence, there is a need to focus on equity, community engagement, and staff well-being. By addressing the identified areas for improvement, the administrator can further elevate the quality of education in Almaty, ensuring it remains a leading center for learning in Central Asia.</w:t>
      </w:r>
    </w:p>
    <w:bookmarkEnd w:id="30"/>
    <w:p>
      <w:pPr>
        <w:pStyle w:val="BodyText"/>
      </w:pPr>
      <w:r>
        <w:rPr>
          <w:bCs/>
          <w:b/>
        </w:rPr>
        <w:t xml:space="preserve">Prepared by:</w:t>
      </w:r>
    </w:p>
    <w:p>
      <w:pPr>
        <w:pStyle w:val="BodyText"/>
      </w:pPr>
      <w:r>
        <w:t xml:space="preserve">Dr. Elena Ivanova</w:t>
      </w:r>
    </w:p>
    <w:p>
      <w:pPr>
        <w:pStyle w:val="BodyText"/>
      </w:pPr>
      <w:r>
        <w:t xml:space="preserve">Senior Peer Reviewer</w:t>
      </w:r>
    </w:p>
    <w:p>
      <w:pPr>
        <w:pStyle w:val="BodyText"/>
      </w:pPr>
      <w:r>
        <w:t xml:space="preserve">Almaty Education Quality Assurance Board</w:t>
      </w:r>
    </w:p>
    <w:p>
      <w:pPr>
        <w:pStyle w:val="BodyText"/>
      </w:pPr>
      <w:r>
        <w:rPr>
          <w:bCs/>
          <w:b/>
        </w:rPr>
        <w:t xml:space="preserve">Reviewed by:</w:t>
      </w:r>
    </w:p>
    <w:p>
      <w:pPr>
        <w:pStyle w:val="BodyText"/>
      </w:pPr>
      <w:r>
        <w:t xml:space="preserve">Mr. Bakhytzhan Nurpeisov</w:t>
      </w:r>
    </w:p>
    <w:p>
      <w:pPr>
        <w:pStyle w:val="BodyText"/>
      </w:pPr>
      <w:r>
        <w:t xml:space="preserve">Director of Educational Standards</w:t>
      </w:r>
    </w:p>
    <w:p>
      <w:pPr>
        <w:pStyle w:val="BodyText"/>
      </w:pPr>
      <w:r>
        <w:t xml:space="preserve">Ministry of Education and Science (Regional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Almaty, Kazakhstan</dc:title>
  <dc:creator/>
  <dc:language>en</dc:language>
  <cp:keywords/>
  <dcterms:created xsi:type="dcterms:W3CDTF">2026-10-10T07:04:49Z</dcterms:created>
  <dcterms:modified xsi:type="dcterms:W3CDTF">2026-10-10T07:04:49Z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