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Nairobi, Kenya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leadership capabilities, and administrative efficiency of an Education Administrator operating within the dynamic educational landscape of Nairobi, Kenya. The review is conducted in accordance with the standards set forth by the Teachers Service Commission (TSC) and the Ministry of Education, focusing on the implementation of the Competency-Based Curriculum (CBC) and the management of institutional resources.</w:t>
      </w:r>
    </w:p>
    <w:p>
      <w:pPr>
        <w:pStyle w:val="BodyText"/>
      </w:pPr>
      <w:r>
        <w:t xml:space="preserve">The purpose of this document is to provide a comprehensive, objective, and constructive analysis of the administrator's role in fostering academic excellence, ensuring regulatory compliance, and promoting a conducive learning environment for students and staff alike. The review period covers the academic year from January to December 2023.</w:t>
      </w:r>
    </w:p>
    <w:bookmarkEnd w:id="21"/>
    <w:bookmarkStart w:id="22" w:name="leadership-and-strategic-vision"/>
    <w:p>
      <w:pPr>
        <w:pStyle w:val="Heading2"/>
      </w:pPr>
      <w:r>
        <w:t xml:space="preserve">2. Leadership and Strategic Vision</w:t>
      </w:r>
    </w:p>
    <w:p>
      <w:pPr>
        <w:pStyle w:val="FirstParagraph"/>
      </w:pPr>
      <w:r>
        <w:t xml:space="preserve">The Education Administrator has demonstrated a clear and forward-thinking strategic vision aligned with the national education goals of Kenya. In the context of Nairobi, where educational institutions face unique challenges such as high student density and diverse socio-economic backgrounds, the administrator has shown resilience and adaptability.</w:t>
      </w:r>
    </w:p>
    <w:p>
      <w:pPr>
        <w:pStyle w:val="BodyText"/>
      </w:pPr>
      <w:r>
        <w:t xml:space="preserve">Key observations include:</w:t>
      </w:r>
    </w:p>
    <w:p>
      <w:pPr>
        <w:numPr>
          <w:ilvl w:val="0"/>
          <w:numId w:val="1001"/>
        </w:numPr>
        <w:pStyle w:val="Compact"/>
      </w:pPr>
      <w:r>
        <w:rPr>
          <w:bCs/>
          <w:b/>
        </w:rPr>
        <w:t xml:space="preserve">Curriculum Implementation:</w:t>
      </w:r>
      <w:r>
        <w:t xml:space="preserve"> </w:t>
      </w:r>
      <w:r>
        <w:t xml:space="preserve">The administrator has effectively led the transition to the Competency-Based Curriculum (CBC), ensuring that teachers are adequately trained and resources are allocated efficiently. This has been crucial in maintaining academic standards in line with the Kenya Institute of Curriculum Development (KICD) guidelines.</w:t>
      </w:r>
    </w:p>
    <w:p>
      <w:pPr>
        <w:numPr>
          <w:ilvl w:val="0"/>
          <w:numId w:val="1001"/>
        </w:numPr>
        <w:pStyle w:val="Compact"/>
      </w:pPr>
      <w:r>
        <w:rPr>
          <w:bCs/>
          <w:b/>
        </w:rPr>
        <w:t xml:space="preserve">Stakeholder Engagement:</w:t>
      </w:r>
      <w:r>
        <w:t xml:space="preserve"> </w:t>
      </w:r>
      <w:r>
        <w:t xml:space="preserve">Strong relationships have been established with parents, local community leaders, and government officials in Nairobi. Regular meetings and transparent communication channels have been maintained, fostering a collaborative environment.</w:t>
      </w:r>
    </w:p>
    <w:p>
      <w:pPr>
        <w:numPr>
          <w:ilvl w:val="0"/>
          <w:numId w:val="1001"/>
        </w:numPr>
        <w:pStyle w:val="Compact"/>
      </w:pPr>
      <w:r>
        <w:rPr>
          <w:bCs/>
          <w:b/>
        </w:rPr>
        <w:t xml:space="preserve">Staff Development:</w:t>
      </w:r>
      <w:r>
        <w:t xml:space="preserve"> </w:t>
      </w:r>
      <w:r>
        <w:t xml:space="preserve">The administrator has prioritized professional development for teaching and non-teaching staff, organizing workshops and seminars that enhance pedagogical skills and administrative efficiency.</w:t>
      </w:r>
    </w:p>
    <w:bookmarkEnd w:id="22"/>
    <w:bookmarkStart w:id="23" w:name="X14b7c596a118b499e0d4693871a8abdd72ff41e"/>
    <w:p>
      <w:pPr>
        <w:pStyle w:val="Heading2"/>
      </w:pPr>
      <w:r>
        <w:t xml:space="preserve">3. Administrative Efficiency and Resource Management</w:t>
      </w:r>
    </w:p>
    <w:p>
      <w:pPr>
        <w:pStyle w:val="FirstParagraph"/>
      </w:pPr>
      <w:r>
        <w:t xml:space="preserve">Effective administration is the backbone of any successful educational institution. The Education Administrator has shown commendable skills in managing resources, both human and financial, ensuring that the institution operates smoothly and efficiently.</w:t>
      </w:r>
    </w:p>
    <w:p>
      <w:pPr>
        <w:pStyle w:val="BodyText"/>
      </w:pPr>
      <w:r>
        <w:t xml:space="preserve">Specific areas of strength include:</w:t>
      </w:r>
    </w:p>
    <w:p>
      <w:pPr>
        <w:numPr>
          <w:ilvl w:val="0"/>
          <w:numId w:val="1002"/>
        </w:numPr>
        <w:pStyle w:val="Compact"/>
      </w:pPr>
      <w:r>
        <w:rPr>
          <w:bCs/>
          <w:b/>
        </w:rPr>
        <w:t xml:space="preserve">Financial Management:</w:t>
      </w:r>
      <w:r>
        <w:t xml:space="preserve"> </w:t>
      </w:r>
      <w:r>
        <w:t xml:space="preserve">The administrator has maintained transparent and accountable financial practices, ensuring that funds are utilized effectively for the benefit of students and staff. Regular audits and financial reports have been conducted in compliance with national regulations.</w:t>
      </w:r>
    </w:p>
    <w:p>
      <w:pPr>
        <w:numPr>
          <w:ilvl w:val="0"/>
          <w:numId w:val="1002"/>
        </w:numPr>
        <w:pStyle w:val="Compact"/>
      </w:pPr>
      <w:r>
        <w:rPr>
          <w:bCs/>
          <w:b/>
        </w:rPr>
        <w:t xml:space="preserve">Infrastructure Development:</w:t>
      </w:r>
      <w:r>
        <w:t xml:space="preserve"> </w:t>
      </w:r>
      <w:r>
        <w:t xml:space="preserve">Significant improvements have been made to the physical infrastructure of the institution, including the renovation of classrooms, libraries, and laboratories. These enhancements have created a more conducive learning environment for students in Nairobi.</w:t>
      </w:r>
    </w:p>
    <w:p>
      <w:pPr>
        <w:numPr>
          <w:ilvl w:val="0"/>
          <w:numId w:val="1002"/>
        </w:numPr>
        <w:pStyle w:val="Compact"/>
      </w:pPr>
      <w:r>
        <w:rPr>
          <w:bCs/>
          <w:b/>
        </w:rPr>
        <w:t xml:space="preserve">Technology Integration:</w:t>
      </w:r>
      <w:r>
        <w:t xml:space="preserve"> </w:t>
      </w:r>
      <w:r>
        <w:t xml:space="preserve">The administrator has embraced technology as a tool for enhancing teaching and learning. The introduction of digital platforms and e-learning resources has improved access to information and facilitated remote learning options.</w:t>
      </w:r>
    </w:p>
    <w:bookmarkEnd w:id="23"/>
    <w:bookmarkStart w:id="24" w:name="student-welfare-and-academic-performance"/>
    <w:p>
      <w:pPr>
        <w:pStyle w:val="Heading2"/>
      </w:pPr>
      <w:r>
        <w:t xml:space="preserve">4. Student Welfare and Academic Performance</w:t>
      </w:r>
    </w:p>
    <w:p>
      <w:pPr>
        <w:pStyle w:val="FirstParagraph"/>
      </w:pPr>
      <w:r>
        <w:t xml:space="preserve">The well-being and academic success of students are paramount in the role of an Education Administrator. The administrator has implemented various initiatives to support student welfare and enhance academic performance.</w:t>
      </w:r>
    </w:p>
    <w:p>
      <w:pPr>
        <w:pStyle w:val="BodyText"/>
      </w:pPr>
      <w:r>
        <w:t xml:space="preserve">Notable achievements include:</w:t>
      </w:r>
    </w:p>
    <w:p>
      <w:pPr>
        <w:numPr>
          <w:ilvl w:val="0"/>
          <w:numId w:val="1003"/>
        </w:numPr>
        <w:pStyle w:val="Compact"/>
      </w:pPr>
      <w:r>
        <w:rPr>
          <w:bCs/>
          <w:b/>
        </w:rPr>
        <w:t xml:space="preserve">Student Support Services:</w:t>
      </w:r>
      <w:r>
        <w:t xml:space="preserve"> </w:t>
      </w:r>
      <w:r>
        <w:t xml:space="preserve">Comprehensive support services have been established to address the academic, emotional, and social needs of students. Counseling services, mentorship programs, and extracurricular activities have been introduced to promote holistic development.</w:t>
      </w:r>
    </w:p>
    <w:p>
      <w:pPr>
        <w:numPr>
          <w:ilvl w:val="0"/>
          <w:numId w:val="1003"/>
        </w:numPr>
        <w:pStyle w:val="Compact"/>
      </w:pPr>
      <w:r>
        <w:rPr>
          <w:bCs/>
          <w:b/>
        </w:rPr>
        <w:t xml:space="preserve">Academic Excellence:</w:t>
      </w:r>
      <w:r>
        <w:t xml:space="preserve"> </w:t>
      </w:r>
      <w:r>
        <w:t xml:space="preserve">The institution has seen a marked improvement in academic performance, with students achieving higher grades in national examinations. This success is attributed to the administrator's focus on quality teaching and learning.</w:t>
      </w:r>
    </w:p>
    <w:p>
      <w:pPr>
        <w:numPr>
          <w:ilvl w:val="0"/>
          <w:numId w:val="1003"/>
        </w:numPr>
        <w:pStyle w:val="Compact"/>
      </w:pPr>
      <w:r>
        <w:rPr>
          <w:bCs/>
          <w:b/>
        </w:rPr>
        <w:t xml:space="preserve">Inclusivity and Equity:</w:t>
      </w:r>
      <w:r>
        <w:t xml:space="preserve"> </w:t>
      </w:r>
      <w:r>
        <w:t xml:space="preserve">The administrator has promoted inclusivity and equity, ensuring that all students, regardless of their background, have equal access to educational opportunities. Special programs have been implemented to support students with disabilities and those from marginalized communities.</w:t>
      </w:r>
    </w:p>
    <w:bookmarkEnd w:id="24"/>
    <w:bookmarkStart w:id="25" w:name="challenges-and-areas-for-improvement"/>
    <w:p>
      <w:pPr>
        <w:pStyle w:val="Heading2"/>
      </w:pPr>
      <w:r>
        <w:t xml:space="preserve">5. Challenges and Areas for Improvement</w:t>
      </w:r>
    </w:p>
    <w:p>
      <w:pPr>
        <w:pStyle w:val="FirstParagraph"/>
      </w:pPr>
      <w:r>
        <w:t xml:space="preserve">While the Education Administrator has demonstrated strong leadership and administrative skills, there are areas that require attention and improvement:</w:t>
      </w:r>
    </w:p>
    <w:p>
      <w:pPr>
        <w:numPr>
          <w:ilvl w:val="0"/>
          <w:numId w:val="1004"/>
        </w:numPr>
        <w:pStyle w:val="Compact"/>
      </w:pPr>
      <w:r>
        <w:rPr>
          <w:bCs/>
          <w:b/>
        </w:rPr>
        <w:t xml:space="preserve">Communication:</w:t>
      </w:r>
      <w:r>
        <w:t xml:space="preserve"> </w:t>
      </w:r>
      <w:r>
        <w:t xml:space="preserve">Although stakeholder engagement is strong, there is a need for more frequent and transparent communication with staff and students. Regular feedback mechanisms should be established to ensure that concerns are addressed promptly.</w:t>
      </w:r>
    </w:p>
    <w:p>
      <w:pPr>
        <w:numPr>
          <w:ilvl w:val="0"/>
          <w:numId w:val="1004"/>
        </w:numPr>
        <w:pStyle w:val="Compact"/>
      </w:pPr>
      <w:r>
        <w:rPr>
          <w:bCs/>
          <w:b/>
        </w:rPr>
        <w:t xml:space="preserve">Resource Allocation:</w:t>
      </w:r>
      <w:r>
        <w:t xml:space="preserve"> </w:t>
      </w:r>
      <w:r>
        <w:t xml:space="preserve">While financial management is sound, there is a need for more strategic allocation of resources to address emerging needs, such as the integration of advanced technology in teaching and learning.</w:t>
      </w:r>
    </w:p>
    <w:p>
      <w:pPr>
        <w:numPr>
          <w:ilvl w:val="0"/>
          <w:numId w:val="1004"/>
        </w:numPr>
        <w:pStyle w:val="Compact"/>
      </w:pPr>
      <w:r>
        <w:rPr>
          <w:bCs/>
          <w:b/>
        </w:rPr>
        <w:t xml:space="preserve">Professional Development:</w:t>
      </w:r>
      <w:r>
        <w:t xml:space="preserve"> </w:t>
      </w:r>
      <w:r>
        <w:t xml:space="preserve">While staff development initiatives are in place, there is a need for more targeted and continuous professional development programs to keep pace with the evolving educational landscape in Nairobi and Kenya at large.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5"/>
        </w:numPr>
        <w:pStyle w:val="Compact"/>
      </w:pPr>
      <w:r>
        <w:t xml:space="preserve">Enhance communication channels with staff and students to ensure transparency and responsiveness.</w:t>
      </w:r>
    </w:p>
    <w:p>
      <w:pPr>
        <w:numPr>
          <w:ilvl w:val="0"/>
          <w:numId w:val="1005"/>
        </w:numPr>
        <w:pStyle w:val="Compact"/>
      </w:pPr>
      <w:r>
        <w:t xml:space="preserve">Develop a strategic plan for resource allocation that prioritizes emerging needs and opportunities.</w:t>
      </w:r>
    </w:p>
    <w:p>
      <w:pPr>
        <w:numPr>
          <w:ilvl w:val="0"/>
          <w:numId w:val="1005"/>
        </w:numPr>
        <w:pStyle w:val="Compact"/>
      </w:pPr>
      <w:r>
        <w:t xml:space="preserve">Implement continuous professional development programs for staff to enhance their skills and knowledge.</w:t>
      </w:r>
    </w:p>
    <w:p>
      <w:pPr>
        <w:numPr>
          <w:ilvl w:val="0"/>
          <w:numId w:val="1005"/>
        </w:numPr>
        <w:pStyle w:val="Compact"/>
      </w:pPr>
      <w:r>
        <w:t xml:space="preserve">Strengthen partnerships with local communities and organizations to support student welfare and academic success.</w:t>
      </w:r>
    </w:p>
    <w:bookmarkEnd w:id="26"/>
    <w:bookmarkStart w:id="27" w:name="conclusion"/>
    <w:p>
      <w:pPr>
        <w:pStyle w:val="Heading2"/>
      </w:pPr>
      <w:r>
        <w:t xml:space="preserve">7. Conclusion</w:t>
      </w:r>
    </w:p>
    <w:p>
      <w:pPr>
        <w:pStyle w:val="FirstParagraph"/>
      </w:pPr>
      <w:r>
        <w:t xml:space="preserve">In conclusion, the Education Administrator has demonstrated strong leadership, administrative efficiency, and a commitment to student welfare and academic excellence. The initiatives implemented have had a positive impact on the institution and its stakeholders in Nairobi, Kenya. However, there are areas that require attention and improvement to ensure continued success and growth. By addressing the challenges and implementing the recommendations outlined in this report, the administrator can further enhance their effectiveness and contribute to the advancement of education in Kenya.</w:t>
      </w:r>
    </w:p>
    <w:bookmarkEnd w:id="27"/>
    <w:p>
      <w:pPr>
        <w:pStyle w:val="BodyText"/>
      </w:pPr>
      <w:r>
        <w:rPr>
          <w:bCs/>
          <w:b/>
        </w:rPr>
        <w:t xml:space="preserve">Prepared by:</w:t>
      </w:r>
    </w:p>
    <w:p>
      <w:pPr>
        <w:pStyle w:val="BodyText"/>
      </w:pPr>
      <w:r>
        <w:t xml:space="preserve">Dr. Jane Mwangi</w:t>
      </w:r>
    </w:p>
    <w:p>
      <w:pPr>
        <w:pStyle w:val="BodyText"/>
      </w:pPr>
      <w:r>
        <w:t xml:space="preserve">Senior Education Consultant</w:t>
      </w:r>
    </w:p>
    <w:p>
      <w:pPr>
        <w:pStyle w:val="BodyText"/>
      </w:pPr>
      <w:r>
        <w:t xml:space="preserve">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Nairobi, Kenya</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