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t xml:space="preserve">Professional Performance Evaluation</w:t>
      </w:r>
    </w:p>
    <w:p>
      <w:pPr>
        <w:pStyle w:val="BodyText"/>
      </w:pPr>
      <w:r>
        <w:t xml:space="preserve">Role Under Review:</w:t>
      </w:r>
      <w:r>
        <w:t xml:space="preserve"> </w:t>
      </w:r>
      <w:r>
        <w:t xml:space="preserve">Education Administrator</w:t>
      </w:r>
    </w:p>
    <w:p>
      <w:pPr>
        <w:pStyle w:val="BodyText"/>
      </w:pPr>
      <w:r>
        <w:t xml:space="preserve">Location:</w:t>
      </w:r>
      <w:r>
        <w:t xml:space="preserve"> </w:t>
      </w:r>
      <w:r>
        <w:t xml:space="preserve">Malaysia Kuala Lumpur</w:t>
      </w:r>
    </w:p>
    <w:p>
      <w:pPr>
        <w:pStyle w:val="BodyText"/>
      </w:pPr>
      <w:r>
        <w:t xml:space="preserve">Review Date:</w:t>
      </w:r>
      <w:r>
        <w:t xml:space="preserve"> </w:t>
      </w:r>
      <w:r>
        <w:t xml:space="preserve">October 24, 2023</w:t>
      </w:r>
    </w:p>
    <w:p>
      <w:pPr>
        <w:pStyle w:val="BodyText"/>
      </w:pPr>
      <w: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leadership capabilities, and administrative efficacy of the Education Administrator based in Malaysia Kuala Lumpur. The review is conducted by a panel of senior educational stakeholders and peer administrators to ensure alignment with the Ministry of Education Malaysia's standards and the specific operational requirements of our institution in the capital city.</w:t>
      </w:r>
    </w:p>
    <w:p>
      <w:pPr>
        <w:pStyle w:val="BodyText"/>
      </w:pPr>
      <w:r>
        <w:t xml:space="preserve">The Education Administrator plays a pivotal role in bridging the gap between policy formulation and practical implementation within the school ecosystem. In the dynamic educational landscape of Kuala Lumpur, where institutions face unique challenges regarding multicultural integration, rapid technological adoption, and high academic expectations, the administrator's role is critical. This report evaluates how effectively the subject has navigated these challenges over the past review period.</w:t>
      </w:r>
    </w:p>
    <w:bookmarkEnd w:id="21"/>
    <w:bookmarkStart w:id="22" w:name="X8c02cdc044275879417a7272d5d107c6ef543c5"/>
    <w:p>
      <w:pPr>
        <w:pStyle w:val="Heading2"/>
      </w:pPr>
      <w:r>
        <w:t xml:space="preserve">2. Operational Management and Strategic Planning</w:t>
      </w:r>
    </w:p>
    <w:p>
      <w:pPr>
        <w:pStyle w:val="FirstParagraph"/>
      </w:pPr>
      <w:r>
        <w:t xml:space="preserve">A primary responsibility of the Education Administrator is the seamless management of daily school operations. The review indicates a high level of proficiency in resource allocation, scheduling, and facility management. The administrator has successfully implemented a new digital attendance and resource tracking system, which has significantly reduced administrative bottlenecks. This initiative aligns well with the broader "Digital Education Blueprint" initiatives often seen in Kuala Lumpur's forward-thinking institutions.</w:t>
      </w:r>
    </w:p>
    <w:p>
      <w:pPr>
        <w:pStyle w:val="BodyText"/>
      </w:pPr>
      <w:r>
        <w:t xml:space="preserve">Furthermore, the strategic planning capabilities of the Education Administrator have been commendable. The development of a three-year operational roadmap demonstrates foresight and a deep understanding of the local educational context. The administrator has effectively anticipated potential staffing shortages and budget constraints, proposing proactive solutions that safeguard the institution's stability. The ability to balance fiscal responsibility with the need for educational innovation is a standout strength observed during this peer review.</w:t>
      </w:r>
    </w:p>
    <w:bookmarkEnd w:id="22"/>
    <w:bookmarkStart w:id="23" w:name="stakeholder-engagement-and-communication"/>
    <w:p>
      <w:pPr>
        <w:pStyle w:val="Heading2"/>
      </w:pPr>
      <w:r>
        <w:t xml:space="preserve">3. Stakeholder Engagement and Communication</w:t>
      </w:r>
    </w:p>
    <w:p>
      <w:pPr>
        <w:pStyle w:val="FirstParagraph"/>
      </w:pPr>
      <w:r>
        <w:t xml:space="preserve">Effective communication is the cornerstone of successful educational administration. In the diverse socio-cultural environment of Malaysia Kuala Lumpur, the Education Administrator must engage with a wide array of stakeholders, including parents from various ethnic backgrounds, government officials, teachers, and students. The review highlights the administrator's exceptional diplomatic skills and cultural sensitivity.</w:t>
      </w:r>
    </w:p>
    <w:p>
      <w:pPr>
        <w:pStyle w:val="BodyText"/>
      </w:pPr>
      <w:r>
        <w:t xml:space="preserve">The administrator has established robust channels for parent-teacher communication, including multilingual newsletters and regular town hall meetings. This approach has fostered a strong sense of community and trust. Additionally, the administrator's relationship with local education authorities in Kuala Lumpur has been strengthened through regular reporting and collaborative projects. The ability to navigate bureaucratic requirements while maintaining open lines of communication with the school community is a vital asset.</w:t>
      </w:r>
    </w:p>
    <w:bookmarkEnd w:id="23"/>
    <w:bookmarkStart w:id="24" w:name="staff-development-and-leadership"/>
    <w:p>
      <w:pPr>
        <w:pStyle w:val="Heading2"/>
      </w:pPr>
      <w:r>
        <w:t xml:space="preserve">4. Staff Development and Leadership</w:t>
      </w:r>
    </w:p>
    <w:p>
      <w:pPr>
        <w:pStyle w:val="FirstParagraph"/>
      </w:pPr>
      <w:r>
        <w:t xml:space="preserve">Leadership within an educational setting extends beyond management; it involves inspiring and developing staff. The Education Administrator has demonstrated a commitment to professional development by organizing workshops on modern pedagogical techniques and classroom management. These initiatives have been well-received by the teaching staff and have contributed to an improved school climate.</w:t>
      </w:r>
    </w:p>
    <w:p>
      <w:pPr>
        <w:pStyle w:val="BodyText"/>
      </w:pPr>
      <w:r>
        <w:t xml:space="preserve">The administrator's leadership style is characterized by approachability and decisiveness. Peers have noted that the administrator is readily available to support teachers facing challenges, whether related to student behavior or curriculum delivery. This supportive environment has led to increased staff retention and morale. However, the review suggests that further emphasis on leadership training for middle-management staff could enhance the overall administrative structure.</w:t>
      </w:r>
    </w:p>
    <w:bookmarkEnd w:id="24"/>
    <w:bookmarkStart w:id="25" w:name="compliance-and-regulatory-adherence"/>
    <w:p>
      <w:pPr>
        <w:pStyle w:val="Heading2"/>
      </w:pPr>
      <w:r>
        <w:t xml:space="preserve">5. Compliance and Regulatory Adherence</w:t>
      </w:r>
    </w:p>
    <w:p>
      <w:pPr>
        <w:pStyle w:val="FirstParagraph"/>
      </w:pPr>
      <w:r>
        <w:t xml:space="preserve">Adherence to national educational policies and regulations is non-negotiable. The Education Administrator has maintained strict compliance with all guidelines set forth by the Ministry of Education Malaysia. This includes accurate reporting of student performance data, adherence to safety protocols, and proper implementation of the national curriculum.</w:t>
      </w:r>
    </w:p>
    <w:p>
      <w:pPr>
        <w:pStyle w:val="BodyText"/>
      </w:pPr>
      <w:r>
        <w:t xml:space="preserve">The administrator's attention to detail in regulatory matters has protected the institution from potential legal or administrative issues. Regular internal audits conducted under the administrator's supervision have ensured that all operational procedures meet the highest standards. This diligence is particularly important in Kuala Lumpur, where educational institutions are subject to rigorous scrutiny.</w:t>
      </w:r>
    </w:p>
    <w:bookmarkEnd w:id="25"/>
    <w:bookmarkStart w:id="26" w:name="areas-for-improvement"/>
    <w:p>
      <w:pPr>
        <w:pStyle w:val="Heading2"/>
      </w:pPr>
      <w:r>
        <w:t xml:space="preserve">6. Areas for Improvement</w:t>
      </w:r>
    </w:p>
    <w:p>
      <w:pPr>
        <w:pStyle w:val="FirstParagraph"/>
      </w:pPr>
      <w:r>
        <w:t xml:space="preserve">While the performance of the Education Administrator is largely exemplary, the peer review panel has identified a few areas for potential growth. First, there is an opportunity to further integrate technology into administrative workflows. While progress has been made, full digital transformation of certain legacy processes could improve efficiency.</w:t>
      </w:r>
    </w:p>
    <w:p>
      <w:pPr>
        <w:pStyle w:val="BodyText"/>
      </w:pPr>
      <w:r>
        <w:t xml:space="preserve">Second, the administrator could benefit from developing stronger data analytics skills. Leveraging data more effectively to inform decision-making regarding student support services and resource allocation would enhance the precision of administrative strategies. Finally, increasing visibility in community outreach programs beyond the immediate school vicinity could further elevate the institution's profile within the broader Kuala Lumpur community.</w:t>
      </w:r>
    </w:p>
    <w:bookmarkEnd w:id="26"/>
    <w:bookmarkStart w:id="27" w:name="conclusion-and-recommendations"/>
    <w:p>
      <w:pPr>
        <w:pStyle w:val="Heading2"/>
      </w:pPr>
      <w:r>
        <w:t xml:space="preserve">7. Conclusion and Recommendations</w:t>
      </w:r>
    </w:p>
    <w:p>
      <w:pPr>
        <w:pStyle w:val="FirstParagraph"/>
      </w:pPr>
      <w:r>
        <w:rPr>
          <w:bCs/>
          <w:b/>
        </w:rPr>
        <w:t xml:space="preserve">Overall Performance Rating:</w:t>
      </w:r>
      <w:r>
        <w:t xml:space="preserve"> </w:t>
      </w:r>
      <w:r>
        <w:t xml:space="preserve">Exceeds Expectations</w:t>
      </w:r>
    </w:p>
    <w:p>
      <w:pPr>
        <w:pStyle w:val="BodyText"/>
      </w:pPr>
      <w:r>
        <w:t xml:space="preserve">In conclusion, the Education Administrator has demonstrated exceptional competence, leadership, and dedication during the review period. Their contributions have significantly enhanced the operational efficiency and educational quality of the institution. The administrator's ability to navigate the complexities of the Malaysia Kuala Lumpur educational landscape while maintaining high standards of compliance and stakeholder satisfaction is highly commendable.</w:t>
      </w:r>
    </w:p>
    <w:p>
      <w:pPr>
        <w:pStyle w:val="BodyText"/>
      </w:pPr>
      <w:r>
        <w:t xml:space="preserve">It is recommended that the Education Administrator be recognized for their outstanding performance and provided with opportunities for advanced leadership training. Continued support in the areas of technological integration and data analytics will further empower the administrator to drive the institution toward even greater success. This Peer Review Report affirms the administrator's value as a key leader in our educational community.</w:t>
      </w:r>
    </w:p>
    <w:bookmarkEnd w:id="27"/>
    <w:p>
      <w:pPr>
        <w:pStyle w:val="BodyText"/>
      </w:pPr>
      <w:r>
        <w:t xml:space="preserve">Lead Peer Reviewer</w:t>
      </w:r>
    </w:p>
    <w:p>
      <w:pPr>
        <w:pStyle w:val="BodyText"/>
      </w:pPr>
      <w:r>
        <w:t xml:space="preserve">Senior Educational Consultant</w:t>
      </w:r>
    </w:p>
    <w:p>
      <w:pPr>
        <w:pStyle w:val="BodyText"/>
      </w:pPr>
      <w:r>
        <w:t xml:space="preserve">Education Administrator</w:t>
      </w:r>
    </w:p>
    <w:p>
      <w:pPr>
        <w:pStyle w:val="BodyText"/>
      </w:pPr>
      <w:r>
        <w:t xml:space="preserve">Acknowledged and Received</w:t>
      </w:r>
    </w:p>
    <w:p>
      <w:pPr>
        <w:pStyle w:val="BodyText"/>
      </w:pPr>
      <w:r>
        <w:t xml:space="preserve">Confidential Document - For Internal Use Only | Peer Review Report |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2026-10-10T02:03:16Z</dcterms:created>
  <dcterms:modified xsi:type="dcterms:W3CDTF">2026-10-10T02:03:16Z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