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t xml:space="preserve">Professional Evaluation of Educational Leadership and Administrative Competency</w:t>
      </w:r>
    </w:p>
    <w:p>
      <w:pPr>
        <w:pStyle w:val="BodyText"/>
      </w:pPr>
      <w:r>
        <w:t xml:space="preserve">Location:</w:t>
      </w:r>
      <w:r>
        <w:t xml:space="preserve"> </w:t>
      </w:r>
      <w:r>
        <w:t xml:space="preserve">Yangon, Myanmar</w:t>
      </w:r>
    </w:p>
    <w:p>
      <w:pPr>
        <w:pStyle w:val="BodyText"/>
      </w:pPr>
      <w:r>
        <w:t xml:space="preserve">Date:</w:t>
      </w:r>
      <w:r>
        <w:t xml:space="preserve"> </w:t>
      </w:r>
      <w:r>
        <w:t xml:space="preserve">October 24, 2023</w:t>
      </w:r>
    </w:p>
    <w:p>
      <w:pPr>
        <w:pStyle w:val="BodyText"/>
      </w:pPr>
      <w:r>
        <w:t xml:space="preserve">Review ID:</w:t>
      </w:r>
      <w:r>
        <w:t xml:space="preserve"> </w:t>
      </w:r>
      <w:r>
        <w:t xml:space="preserve">YGN-EDU-2023-089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leadership capabilities, and administrative efficacy of the</w:t>
      </w:r>
      <w:r>
        <w:t xml:space="preserve"> </w:t>
      </w:r>
      <w:r>
        <w:rPr>
          <w:bCs/>
          <w:b/>
        </w:rPr>
        <w:t xml:space="preserve">Education Administrator</w:t>
      </w:r>
      <w:r>
        <w:t xml:space="preserve"> </w:t>
      </w:r>
      <w:r>
        <w:t xml:space="preserve">at the designated institution in</w:t>
      </w:r>
      <w:r>
        <w:t xml:space="preserve"> </w:t>
      </w:r>
      <w:r>
        <w:rPr>
          <w:bCs/>
          <w:b/>
        </w:rPr>
        <w:t xml:space="preserve">Myanmar Yangon</w:t>
      </w:r>
      <w:r>
        <w:t xml:space="preserve">. The review was conducted over a period of three months, involving classroom observations, stakeholder interviews, document analysis, and direct interaction with the administrative team.</w:t>
      </w:r>
    </w:p>
    <w:p>
      <w:pPr>
        <w:pStyle w:val="BodyText"/>
      </w:pPr>
      <w:r>
        <w:t xml:space="preserve">The primary objective of this evaluation is to ensure that the educational standards align with both national requirements and international best practices suitable for the dynamic environment of Yangon. The</w:t>
      </w:r>
      <w:r>
        <w:t xml:space="preserve"> </w:t>
      </w:r>
      <w:r>
        <w:rPr>
          <w:bCs/>
          <w:b/>
        </w:rPr>
        <w:t xml:space="preserve">Education Administrator</w:t>
      </w:r>
      <w:r>
        <w:t xml:space="preserve"> </w:t>
      </w:r>
      <w:r>
        <w:t xml:space="preserve">has demonstrated a strong commitment to fostering an inclusive learning environment, though specific areas regarding digital infrastructure integration and staff professional development require strategic attention.</w:t>
      </w:r>
    </w:p>
    <w:bookmarkEnd w:id="21"/>
    <w:bookmarkStart w:id="22" w:name="subject-profile-and-context"/>
    <w:p>
      <w:pPr>
        <w:pStyle w:val="Heading2"/>
      </w:pPr>
      <w:r>
        <w:t xml:space="preserve">2. Subject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Education Administrator</w:t>
            </w:r>
          </w:p>
        </w:tc>
      </w:tr>
      <w:tr>
        <w:tc>
          <w:tcPr/>
          <w:p>
            <w:pPr>
              <w:pStyle w:val="Compact"/>
              <w:jc w:val="left"/>
            </w:pPr>
            <w:r>
              <w:t xml:space="preserve">Institution Type</w:t>
            </w:r>
          </w:p>
        </w:tc>
        <w:tc>
          <w:tcPr/>
          <w:p>
            <w:pPr>
              <w:pStyle w:val="Compact"/>
              <w:jc w:val="left"/>
            </w:pPr>
            <w:r>
              <w:t xml:space="preserve">Secondary Education Center</w:t>
            </w:r>
          </w:p>
        </w:tc>
      </w:tr>
      <w:tr>
        <w:tc>
          <w:tcPr/>
          <w:p>
            <w:pPr>
              <w:pStyle w:val="Compact"/>
              <w:jc w:val="left"/>
            </w:pPr>
            <w:r>
              <w:t xml:space="preserve">Location</w:t>
            </w:r>
          </w:p>
        </w:tc>
        <w:tc>
          <w:tcPr/>
          <w:p>
            <w:pPr>
              <w:pStyle w:val="Compact"/>
              <w:jc w:val="left"/>
            </w:pPr>
            <w:r>
              <w:t xml:space="preserve">Yangon, Myanmar</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Review Scope</w:t>
            </w:r>
          </w:p>
        </w:tc>
        <w:tc>
          <w:tcPr/>
          <w:p>
            <w:pPr>
              <w:pStyle w:val="Compact"/>
              <w:jc w:val="left"/>
            </w:pPr>
            <w:r>
              <w:t xml:space="preserve">Operational Management, Curriculum Oversight, Community Engagement</w:t>
            </w:r>
          </w:p>
        </w:tc>
      </w:tr>
    </w:tbl>
    <w:bookmarkEnd w:id="22"/>
    <w:bookmarkStart w:id="27" w:name="detailed-assessment-criteria"/>
    <w:p>
      <w:pPr>
        <w:pStyle w:val="Heading2"/>
      </w:pPr>
      <w:r>
        <w:t xml:space="preserve">3. Detailed Assessment Criteria</w:t>
      </w:r>
    </w:p>
    <w:bookmarkStart w:id="23" w:name="strategic-leadership-and-vision"/>
    <w:p>
      <w:pPr>
        <w:pStyle w:val="Heading3"/>
      </w:pPr>
      <w:r>
        <w:t xml:space="preserve">3.1 Strategic Leadership and Vision</w:t>
      </w:r>
    </w:p>
    <w:p>
      <w:pPr>
        <w:pStyle w:val="FirstParagraph"/>
      </w:pPr>
      <w:r>
        <w:t xml:space="preserve">The</w:t>
      </w:r>
      <w:r>
        <w:t xml:space="preserve"> </w:t>
      </w:r>
      <w:r>
        <w:rPr>
          <w:bCs/>
          <w:b/>
        </w:rPr>
        <w:t xml:space="preserve">Education Administrator</w:t>
      </w:r>
      <w:r>
        <w:t xml:space="preserve"> </w:t>
      </w:r>
      <w:r>
        <w:t xml:space="preserve">has successfully articulated a clear vision for the institution that resonates with the cultural and educational values of</w:t>
      </w:r>
      <w:r>
        <w:t xml:space="preserve"> </w:t>
      </w:r>
      <w:r>
        <w:rPr>
          <w:bCs/>
          <w:b/>
        </w:rPr>
        <w:t xml:space="preserve">Myanmar Yangon</w:t>
      </w:r>
      <w:r>
        <w:t xml:space="preserve">. The leadership style is characterized by collaborative decision-making, which has improved staff morale. The administrator effectively navigates the complex regulatory landscape of the Ministry of Education while maintaining institutional autonomy.</w:t>
      </w:r>
    </w:p>
    <w:p>
      <w:pPr>
        <w:numPr>
          <w:ilvl w:val="0"/>
          <w:numId w:val="1001"/>
        </w:numPr>
        <w:pStyle w:val="Compact"/>
      </w:pPr>
      <w:r>
        <w:rPr>
          <w:bCs/>
          <w:b/>
        </w:rPr>
        <w:t xml:space="preserve">Strength:</w:t>
      </w:r>
      <w:r>
        <w:t xml:space="preserve"> </w:t>
      </w:r>
      <w:r>
        <w:t xml:space="preserve">Ability to align school goals with national educational reforms.</w:t>
      </w:r>
    </w:p>
    <w:p>
      <w:pPr>
        <w:numPr>
          <w:ilvl w:val="0"/>
          <w:numId w:val="1001"/>
        </w:numPr>
        <w:pStyle w:val="Compact"/>
      </w:pPr>
      <w:r>
        <w:rPr>
          <w:bCs/>
          <w:b/>
        </w:rPr>
        <w:t xml:space="preserve">Observation:</w:t>
      </w:r>
      <w:r>
        <w:t xml:space="preserve"> </w:t>
      </w:r>
      <w:r>
        <w:t xml:space="preserve">Regular town hall meetings with teachers and parents have increased transparency.</w:t>
      </w:r>
    </w:p>
    <w:bookmarkEnd w:id="23"/>
    <w:bookmarkStart w:id="24" w:name="X80d9023c3d071d50fb028a489e47c702be9e154"/>
    <w:p>
      <w:pPr>
        <w:pStyle w:val="Heading3"/>
      </w:pPr>
      <w:r>
        <w:t xml:space="preserve">3.2 Curriculum Management and Academic Standards</w:t>
      </w:r>
    </w:p>
    <w:p>
      <w:pPr>
        <w:pStyle w:val="FirstParagraph"/>
      </w:pPr>
      <w:r>
        <w:t xml:space="preserve">A critical aspect of this</w:t>
      </w:r>
      <w:r>
        <w:t xml:space="preserve"> </w:t>
      </w:r>
      <w:r>
        <w:rPr>
          <w:bCs/>
          <w:b/>
        </w:rPr>
        <w:t xml:space="preserve">Peer Review Report</w:t>
      </w:r>
      <w:r>
        <w:t xml:space="preserve"> </w:t>
      </w:r>
      <w:r>
        <w:t xml:space="preserve">is the evaluation of academic oversight. The</w:t>
      </w:r>
      <w:r>
        <w:t xml:space="preserve"> </w:t>
      </w:r>
      <w:r>
        <w:rPr>
          <w:bCs/>
          <w:b/>
        </w:rPr>
        <w:t xml:space="preserve">Education Administrator</w:t>
      </w:r>
      <w:r>
        <w:t xml:space="preserve"> </w:t>
      </w:r>
      <w:r>
        <w:t xml:space="preserve">ensures that the curriculum is robust, culturally relevant, and academically rigorous. There is a notable emphasis on bilingual education (Burmese and English), which is essential for student success in the globalized context of Yangon.</w:t>
      </w:r>
    </w:p>
    <w:p>
      <w:pPr>
        <w:pStyle w:val="BodyText"/>
      </w:pPr>
      <w:r>
        <w:t xml:space="preserve">However, the integration of STEM (Science, Technology, Engineering, and Mathematics) subjects could be enhanced. While the foundation is strong, the administrator must prioritize resource allocation for modern science laboratories to keep pace with regional competitors in Yangon.</w:t>
      </w:r>
    </w:p>
    <w:bookmarkEnd w:id="24"/>
    <w:bookmarkStart w:id="25" w:name="Xbc1b2168ae09984648c4b0567d000aadde8df59"/>
    <w:p>
      <w:pPr>
        <w:pStyle w:val="Heading3"/>
      </w:pPr>
      <w:r>
        <w:t xml:space="preserve">3.3 Operational Efficiency and Resource Management</w:t>
      </w:r>
    </w:p>
    <w:p>
      <w:pPr>
        <w:pStyle w:val="FirstParagraph"/>
      </w:pPr>
      <w:r>
        <w:t xml:space="preserve">Operational management in</w:t>
      </w:r>
      <w:r>
        <w:t xml:space="preserve"> </w:t>
      </w:r>
      <w:r>
        <w:rPr>
          <w:bCs/>
          <w:b/>
        </w:rPr>
        <w:t xml:space="preserve">Myanmar Yangon</w:t>
      </w:r>
      <w:r>
        <w:t xml:space="preserve"> </w:t>
      </w:r>
      <w:r>
        <w:t xml:space="preserve">presents unique challenges, including infrastructure maintenance and utility management. The</w:t>
      </w:r>
      <w:r>
        <w:t xml:space="preserve"> </w:t>
      </w:r>
      <w:r>
        <w:rPr>
          <w:bCs/>
          <w:b/>
        </w:rPr>
        <w:t xml:space="preserve">Education Administrator</w:t>
      </w:r>
      <w:r>
        <w:t xml:space="preserve"> </w:t>
      </w:r>
      <w:r>
        <w:t xml:space="preserve">has demonstrated fiscal responsibility and effective budgeting. The facility is well-maintained, and safety protocols are strictly enforced, which is a significant achievement given the urban density of the location.</w:t>
      </w:r>
    </w:p>
    <w:p>
      <w:pPr>
        <w:pStyle w:val="BodyText"/>
      </w:pPr>
      <w:r>
        <w:t xml:space="preserve">The review notes that administrative processes are largely manual. Transitioning to a digital management system would significantly reduce administrative burden and improve data accuracy.</w:t>
      </w:r>
    </w:p>
    <w:bookmarkEnd w:id="25"/>
    <w:bookmarkStart w:id="26" w:name="X48be881763d8ccbee3cf15d328ecf4f60f1c344"/>
    <w:p>
      <w:pPr>
        <w:pStyle w:val="Heading3"/>
      </w:pPr>
      <w:r>
        <w:t xml:space="preserve">3.4 Stakeholder Engagement and Community Relations</w:t>
      </w:r>
    </w:p>
    <w:p>
      <w:pPr>
        <w:pStyle w:val="FirstParagraph"/>
      </w:pPr>
      <w:r>
        <w:t xml:space="preserve">The administrator excels in building relationships with the local community in Yangon. Strong ties with local businesses and alumni networks have facilitated scholarship programs and internship opportunities for students. This community-centric approach is a hallmark of effective educational leadership in Myanmar.</w:t>
      </w:r>
    </w:p>
    <w:bookmarkEnd w:id="26"/>
    <w:bookmarkEnd w:id="27"/>
    <w:bookmarkStart w:id="28" w:name="performance-scoring-matrix"/>
    <w:p>
      <w:pPr>
        <w:pStyle w:val="Heading2"/>
      </w:pPr>
      <w:r>
        <w:t xml:space="preserve">4. Performance Scoring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Strategic Planning</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Academic Oversight</w:t>
            </w:r>
          </w:p>
        </w:tc>
        <w:tc>
          <w:tcPr/>
          <w:p>
            <w:pPr>
              <w:pStyle w:val="Compact"/>
              <w:jc w:val="left"/>
            </w:pPr>
            <w:r>
              <w:t xml:space="preserve">4</w:t>
            </w:r>
          </w:p>
        </w:tc>
        <w:tc>
          <w:tcPr/>
          <w:p>
            <w:pPr>
              <w:pStyle w:val="Compact"/>
              <w:jc w:val="left"/>
            </w:pPr>
            <w:r>
              <w:t xml:space="preserve">Very Good</w:t>
            </w:r>
          </w:p>
        </w:tc>
      </w:tr>
      <w:tr>
        <w:tc>
          <w:tcPr/>
          <w:p>
            <w:pPr>
              <w:pStyle w:val="Compact"/>
              <w:jc w:val="left"/>
            </w:pPr>
            <w:r>
              <w:t xml:space="preserve">Financial Management</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Technology Integration</w:t>
            </w:r>
          </w:p>
        </w:tc>
        <w:tc>
          <w:tcPr/>
          <w:p>
            <w:pPr>
              <w:pStyle w:val="Compact"/>
              <w:jc w:val="left"/>
            </w:pPr>
            <w:r>
              <w:t xml:space="preserve">3</w:t>
            </w:r>
          </w:p>
        </w:tc>
        <w:tc>
          <w:tcPr/>
          <w:p>
            <w:pPr>
              <w:pStyle w:val="Compact"/>
              <w:jc w:val="left"/>
            </w:pPr>
            <w:r>
              <w:t xml:space="preserve">Satisfactory</w:t>
            </w:r>
          </w:p>
        </w:tc>
      </w:tr>
      <w:tr>
        <w:tc>
          <w:tcPr/>
          <w:p>
            <w:pPr>
              <w:pStyle w:val="Compact"/>
              <w:jc w:val="left"/>
            </w:pPr>
            <w:r>
              <w:t xml:space="preserve">Staff Development</w:t>
            </w:r>
          </w:p>
        </w:tc>
        <w:tc>
          <w:tcPr/>
          <w:p>
            <w:pPr>
              <w:pStyle w:val="Compact"/>
              <w:jc w:val="left"/>
            </w:pPr>
            <w:r>
              <w:t xml:space="preserve">3</w:t>
            </w:r>
          </w:p>
        </w:tc>
        <w:tc>
          <w:tcPr/>
          <w:p>
            <w:pPr>
              <w:pStyle w:val="Compact"/>
              <w:jc w:val="left"/>
            </w:pPr>
            <w:r>
              <w:t xml:space="preserve">Satisfactory</w:t>
            </w:r>
          </w:p>
        </w:tc>
      </w:tr>
      <w:tr>
        <w:tc>
          <w:tcPr/>
          <w:p>
            <w:pPr>
              <w:pStyle w:val="Compact"/>
              <w:jc w:val="left"/>
            </w:pPr>
            <w:r>
              <w:t xml:space="preserve">Community Engagement</w:t>
            </w:r>
          </w:p>
        </w:tc>
        <w:tc>
          <w:tcPr/>
          <w:p>
            <w:pPr>
              <w:pStyle w:val="Compact"/>
              <w:jc w:val="left"/>
            </w:pPr>
            <w:r>
              <w:t xml:space="preserve">5</w:t>
            </w:r>
          </w:p>
        </w:tc>
        <w:tc>
          <w:tcPr/>
          <w:p>
            <w:pPr>
              <w:pStyle w:val="Compact"/>
              <w:jc w:val="left"/>
            </w:pPr>
            <w:r>
              <w:t xml:space="preserve">Excellent</w:t>
            </w:r>
          </w:p>
        </w:tc>
      </w:tr>
    </w:tbl>
    <w:bookmarkEnd w:id="28"/>
    <w:bookmarkStart w:id="32" w:name="Xda79409093af40bd3d15ed7d2a5582dbca223f1"/>
    <w:p>
      <w:pPr>
        <w:pStyle w:val="Heading2"/>
      </w:pPr>
      <w:r>
        <w:t xml:space="preserve">5.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Education Administrator</w:t>
      </w:r>
      <w:r>
        <w:t xml:space="preserve"> </w:t>
      </w:r>
      <w:r>
        <w:t xml:space="preserve">to further elevate the institution's standing in</w:t>
      </w:r>
      <w:r>
        <w:t xml:space="preserve"> </w:t>
      </w:r>
      <w:r>
        <w:rPr>
          <w:bCs/>
          <w:b/>
        </w:rPr>
        <w:t xml:space="preserve">Myanmar Yangon</w:t>
      </w:r>
      <w:r>
        <w:t xml:space="preserve">:</w:t>
      </w:r>
    </w:p>
    <w:bookmarkStart w:id="29" w:name="recommendation-1-digital-transformation"/>
    <w:p>
      <w:pPr>
        <w:pStyle w:val="Heading3"/>
      </w:pPr>
      <w:r>
        <w:t xml:space="preserve">Recommendation 1: Digital Transformation</w:t>
      </w:r>
    </w:p>
    <w:p>
      <w:pPr>
        <w:pStyle w:val="FirstParagraph"/>
      </w:pPr>
      <w:r>
        <w:t xml:space="preserve">Implement a comprehensive Learning Management System (LMS) and administrative software. This will streamline communication, attendance tracking, and grade reporting, aligning the institution with modern educational standards in Yangon.</w:t>
      </w:r>
    </w:p>
    <w:bookmarkEnd w:id="29"/>
    <w:bookmarkStart w:id="30" w:name="Xd866993a4945c487da8fee8d87cf1119a275c24"/>
    <w:p>
      <w:pPr>
        <w:pStyle w:val="Heading3"/>
      </w:pPr>
      <w:r>
        <w:t xml:space="preserve">Recommendation 2: Enhanced Professional Development</w:t>
      </w:r>
    </w:p>
    <w:p>
      <w:pPr>
        <w:pStyle w:val="FirstParagraph"/>
      </w:pPr>
      <w:r>
        <w:t xml:space="preserve">Establish a structured professional development program for teaching staff. Focus on modern pedagogical techniques, classroom management, and digital literacy. Partnering with educational institutions in Yangon for workshops would be beneficial.</w:t>
      </w:r>
    </w:p>
    <w:bookmarkEnd w:id="30"/>
    <w:bookmarkStart w:id="31" w:name="Xe386f8d769f9f5de3760dda65069220a3f2ba70"/>
    <w:p>
      <w:pPr>
        <w:pStyle w:val="Heading3"/>
      </w:pPr>
      <w:r>
        <w:t xml:space="preserve">Recommendation 3: STEM Infrastructure Investment</w:t>
      </w:r>
    </w:p>
    <w:p>
      <w:pPr>
        <w:pStyle w:val="FirstParagraph"/>
      </w:pPr>
      <w:r>
        <w:t xml:space="preserve">Allocate budget specifically for upgrading science and computer laboratories. This is crucial for preparing students for higher education and competitive job markets in Myanmar and abroad.</w:t>
      </w:r>
    </w:p>
    <w:bookmarkEnd w:id="31"/>
    <w:bookmarkEnd w:id="32"/>
    <w:bookmarkStart w:id="33"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a capable and dedicated leader who has made significant contributions to the educational landscape of</w:t>
      </w:r>
      <w:r>
        <w:t xml:space="preserve"> </w:t>
      </w:r>
      <w:r>
        <w:rPr>
          <w:bCs/>
          <w:b/>
        </w:rPr>
        <w:t xml:space="preserve">Myanmar Yangon</w:t>
      </w:r>
      <w:r>
        <w:t xml:space="preserve">. The institution benefits greatly from their strategic vision and community-focused approach. By addressing the identified areas for improvement, particularly in technology integration and staff development, the administrator is well-positioned to lead the institution to even greater heights of academic excellence and operational efficiency.</w:t>
      </w:r>
    </w:p>
    <w:p>
      <w:pPr>
        <w:pStyle w:val="BodyText"/>
      </w:pPr>
      <w:r>
        <w:t xml:space="preserve">The review panel recommends a follow-up assessment in 12 months to monitor progress on the outlined recommendations.</w:t>
      </w:r>
    </w:p>
    <w:bookmarkEnd w:id="33"/>
    <w:p>
      <w:pPr>
        <w:pStyle w:val="BodyText"/>
      </w:pPr>
      <w:r>
        <w:rPr>
          <w:bCs/>
          <w:b/>
        </w:rPr>
        <w:t xml:space="preserve">Peer Review Committee</w:t>
      </w:r>
      <w:r>
        <w:br/>
      </w:r>
      <w:r>
        <w:t xml:space="preserve">Educational Standards Board - Yangon Region</w:t>
      </w:r>
      <w:r>
        <w:br/>
      </w: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Yangon, Myanmar</dc:title>
  <dc:creator/>
  <dc:language>en</dc:language>
  <cp:keywords/>
  <dcterms:created xsi:type="dcterms:W3CDTF">2026-10-10T01:56:50Z</dcterms:created>
  <dcterms:modified xsi:type="dcterms:W3CDTF">2026-10-10T01:56:50Z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