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Auckland,</w:t>
      </w:r>
      <w:r>
        <w:t xml:space="preserve"> </w:t>
      </w:r>
      <w:r>
        <w:t xml:space="preserve">New</w:t>
      </w:r>
      <w:r>
        <w:t xml:space="preserve"> </w:t>
      </w:r>
      <w:r>
        <w:t xml:space="preserve">Zealand</w:t>
      </w:r>
    </w:p>
    <w:bookmarkStart w:id="32" w:name="Xdea699875a1ea53eca49373cd59084b7ca76eb1"/>
    <w:p>
      <w:pPr>
        <w:pStyle w:val="Heading1"/>
      </w:pPr>
      <w:r>
        <w:t xml:space="preserve">Peer Review Report: Education Administrator</w:t>
      </w:r>
    </w:p>
    <w:p>
      <w:pPr>
        <w:pStyle w:val="FirstParagraph"/>
      </w:pPr>
      <w:r>
        <w:rPr>
          <w:bCs/>
          <w:b/>
        </w:rPr>
        <w:t xml:space="preserve">Location:</w:t>
      </w:r>
      <w:r>
        <w:t xml:space="preserve"> </w:t>
      </w:r>
      <w:r>
        <w:t xml:space="preserve">Auckland, New Zealand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Subject Role:</w:t>
      </w:r>
      <w:r>
        <w:t xml:space="preserve"> </w:t>
      </w:r>
      <w:r>
        <w:t xml:space="preserve">Education Administrator</w:t>
      </w:r>
    </w:p>
    <w:p>
      <w:pPr>
        <w:pStyle w:val="BodyText"/>
      </w:pPr>
      <w:r>
        <w:rPr>
          <w:bCs/>
          <w:b/>
        </w:rPr>
        <w:t xml:space="preserve">Reviewers:</w:t>
      </w:r>
      <w:r>
        <w:t xml:space="preserve"> </w:t>
      </w:r>
      <w:r>
        <w:t xml:space="preserve">Senior Leadership Team &amp; Peer Colleagues</w:t>
      </w:r>
    </w:p>
    <w:bookmarkStart w:id="20" w:name="executive-summary"/>
    <w:p>
      <w:pPr>
        <w:pStyle w:val="Heading2"/>
      </w:pPr>
      <w:r>
        <w:t xml:space="preserve">1. Executive Summary</w:t>
      </w:r>
    </w:p>
    <w:p>
      <w:pPr>
        <w:pStyle w:val="FirstParagraph"/>
      </w:pPr>
      <w:r>
        <w:t xml:space="preserve">This Peer Review Report evaluates the performance, leadership capabilities, and operational effectiveness of the Education Administrator within the Auckland education sector. The review focuses on alignment with New Zealand’s educational standards, including the New Zealand Curriculum (NZC), Te Tiriti o Waitangi principles, and the specific cultural and demographic needs of Auckland’s diverse student population. The Education Administrator has demonstrated strong organizational skills, a commitment to inclusive practices, and the ability to support both staff and students in achieving educational excellence.</w:t>
      </w:r>
    </w:p>
    <w:bookmarkEnd w:id="20"/>
    <w:bookmarkStart w:id="21" w:name="context-and-scope"/>
    <w:p>
      <w:pPr>
        <w:pStyle w:val="Heading2"/>
      </w:pPr>
      <w:r>
        <w:t xml:space="preserve">2. Context and Scope</w:t>
      </w:r>
    </w:p>
    <w:p>
      <w:pPr>
        <w:pStyle w:val="FirstParagraph"/>
      </w:pPr>
      <w:r>
        <w:t xml:space="preserve">Auckland is New Zealand’s largest and most culturally diverse city, presenting unique challenges and opportunities for education administrators. This review assesses how effectively the Education Administrator has:</w:t>
      </w:r>
    </w:p>
    <w:p>
      <w:pPr>
        <w:numPr>
          <w:ilvl w:val="0"/>
          <w:numId w:val="1001"/>
        </w:numPr>
        <w:pStyle w:val="Compact"/>
      </w:pPr>
      <w:r>
        <w:t xml:space="preserve">Implemented policies that reflect bicultural and multicultural values.</w:t>
      </w:r>
    </w:p>
    <w:p>
      <w:pPr>
        <w:numPr>
          <w:ilvl w:val="0"/>
          <w:numId w:val="1001"/>
        </w:numPr>
        <w:pStyle w:val="Compact"/>
      </w:pPr>
      <w:r>
        <w:t xml:space="preserve">Supported teachers in delivering high-quality, culturally responsive education.</w:t>
      </w:r>
    </w:p>
    <w:p>
      <w:pPr>
        <w:numPr>
          <w:ilvl w:val="0"/>
          <w:numId w:val="1001"/>
        </w:numPr>
        <w:pStyle w:val="Compact"/>
      </w:pPr>
      <w:r>
        <w:t xml:space="preserve">Managed administrative systems to ensure compliance with Ministry of Education requirements.</w:t>
      </w:r>
    </w:p>
    <w:p>
      <w:pPr>
        <w:numPr>
          <w:ilvl w:val="0"/>
          <w:numId w:val="1001"/>
        </w:numPr>
        <w:pStyle w:val="Compact"/>
      </w:pPr>
      <w:r>
        <w:t xml:space="preserve">Fostered partnerships with whānau (families), communities, and local iwi.</w:t>
      </w:r>
    </w:p>
    <w:bookmarkEnd w:id="21"/>
    <w:bookmarkStart w:id="27" w:name="key-performance-areas"/>
    <w:p>
      <w:pPr>
        <w:pStyle w:val="Heading2"/>
      </w:pPr>
      <w:r>
        <w:t xml:space="preserve">3. Key Performance Areas</w:t>
      </w:r>
    </w:p>
    <w:bookmarkStart w:id="22" w:name="leadership-and-strategic-planning"/>
    <w:p>
      <w:pPr>
        <w:pStyle w:val="Heading3"/>
      </w:pPr>
      <w:r>
        <w:t xml:space="preserve">3.1 Leadership and Strategic Planning</w:t>
      </w:r>
    </w:p>
    <w:p>
      <w:pPr>
        <w:pStyle w:val="FirstParagraph"/>
      </w:pPr>
      <w:r>
        <w:t xml:space="preserve">The Education Administrator has shown strong leadership in developing and implementing strategic plans that align with the school’s vision and the broader goals of Auckland’s education sector. They have actively engaged staff in collaborative planning processes, ensuring that goals are realistic, measurable, and inclusive. Their ability to anticipate challenges and adapt strategies has been particularly effective in managing the post-pandemic recovery and supporting student wellbeing.</w:t>
      </w:r>
    </w:p>
    <w:bookmarkEnd w:id="22"/>
    <w:bookmarkStart w:id="23" w:name="curriculum-and-teaching-support"/>
    <w:p>
      <w:pPr>
        <w:pStyle w:val="Heading3"/>
      </w:pPr>
      <w:r>
        <w:t xml:space="preserve">3.2 Curriculum and Teaching Support</w:t>
      </w:r>
    </w:p>
    <w:p>
      <w:pPr>
        <w:pStyle w:val="FirstParagraph"/>
      </w:pPr>
      <w:r>
        <w:t xml:space="preserve">The administrator has played a key role in supporting teachers to deliver the New Zealand Curriculum with a focus on student achievement and engagement. They have facilitated professional development opportunities that emphasize culturally responsive pedagogy, digital literacy, and inclusive teaching practices. Their efforts have contributed to improved student outcomes, particularly for Māori and Pasifika learners, who are well-represented in Auckland’s schools.</w:t>
      </w:r>
    </w:p>
    <w:bookmarkEnd w:id="23"/>
    <w:bookmarkStart w:id="24" w:name="student-wellbeing-and-inclusion"/>
    <w:p>
      <w:pPr>
        <w:pStyle w:val="Heading3"/>
      </w:pPr>
      <w:r>
        <w:t xml:space="preserve">3.3 Student Wellbeing and Inclusion</w:t>
      </w:r>
    </w:p>
    <w:p>
      <w:pPr>
        <w:pStyle w:val="FirstParagraph"/>
      </w:pPr>
      <w:r>
        <w:t xml:space="preserve">A strong emphasis on student wellbeing has been evident in the administrator’s work. They have implemented policies and programs that promote mental health, safety, and a positive school culture. Their commitment to inclusivity is reflected in initiatives that support students with diverse needs, including those with disabilities, English language learners, and students from refugee backgrounds. The administrator has also worked closely with pastoral care teams to ensure that all students feel valued and supported.</w:t>
      </w:r>
    </w:p>
    <w:bookmarkEnd w:id="24"/>
    <w:bookmarkStart w:id="25" w:name="community-engagement-and-partnerships"/>
    <w:p>
      <w:pPr>
        <w:pStyle w:val="Heading3"/>
      </w:pPr>
      <w:r>
        <w:t xml:space="preserve">3.4 Community Engagement and Partnerships</w:t>
      </w:r>
    </w:p>
    <w:p>
      <w:pPr>
        <w:pStyle w:val="FirstParagraph"/>
      </w:pPr>
      <w:r>
        <w:t xml:space="preserve">The Education Administrator has successfully built and maintained strong relationships with whānau, local iwi, community organizations, and other stakeholders. They have organized regular forums and events to encourage parental involvement and to gather feedback on school policies and practices. Their efforts to honor Te Tiriti o Waitangi have been recognized by both staff and the wider community, contributing to a more cohesive and respectful school environment.</w:t>
      </w:r>
    </w:p>
    <w:bookmarkEnd w:id="25"/>
    <w:bookmarkStart w:id="26" w:name="operational-efficiency-and-compliance"/>
    <w:p>
      <w:pPr>
        <w:pStyle w:val="Heading3"/>
      </w:pPr>
      <w:r>
        <w:t xml:space="preserve">3.5 Operational Efficiency and Compliance</w:t>
      </w:r>
    </w:p>
    <w:p>
      <w:pPr>
        <w:pStyle w:val="FirstParagraph"/>
      </w:pPr>
      <w:r>
        <w:t xml:space="preserve">The administrator has ensured that all administrative processes are efficient, transparent, and compliant with Ministry of Education regulations. They have streamlined systems for data management, reporting, and resource allocation, which has improved overall operational effectiveness. Their attention to detail and proactive approach to problem-solving have minimized disruptions and supported a stable learning environment.</w:t>
      </w:r>
    </w:p>
    <w:bookmarkEnd w:id="26"/>
    <w:bookmarkEnd w:id="27"/>
    <w:bookmarkStart w:id="28" w:name="strengths"/>
    <w:p>
      <w:pPr>
        <w:pStyle w:val="Heading2"/>
      </w:pPr>
      <w:r>
        <w:t xml:space="preserve">4. Strengths</w:t>
      </w:r>
    </w:p>
    <w:p>
      <w:pPr>
        <w:numPr>
          <w:ilvl w:val="0"/>
          <w:numId w:val="1002"/>
        </w:numPr>
        <w:pStyle w:val="Compact"/>
      </w:pPr>
      <w:r>
        <w:t xml:space="preserve">Strong commitment to bicultural and multicultural education.</w:t>
      </w:r>
    </w:p>
    <w:p>
      <w:pPr>
        <w:numPr>
          <w:ilvl w:val="0"/>
          <w:numId w:val="1002"/>
        </w:numPr>
        <w:pStyle w:val="Compact"/>
      </w:pPr>
      <w:r>
        <w:t xml:space="preserve">Effective communication and collaboration with staff, students, and communities.</w:t>
      </w:r>
    </w:p>
    <w:p>
      <w:pPr>
        <w:numPr>
          <w:ilvl w:val="0"/>
          <w:numId w:val="1002"/>
        </w:numPr>
        <w:pStyle w:val="Compact"/>
      </w:pPr>
      <w:r>
        <w:t xml:space="preserve">Ability to lead change and implement innovative practices.</w:t>
      </w:r>
    </w:p>
    <w:p>
      <w:pPr>
        <w:numPr>
          <w:ilvl w:val="0"/>
          <w:numId w:val="1002"/>
        </w:numPr>
        <w:pStyle w:val="Compact"/>
      </w:pPr>
      <w:r>
        <w:t xml:space="preserve">Dedication to student wellbeing and inclusive education.</w:t>
      </w:r>
    </w:p>
    <w:p>
      <w:pPr>
        <w:numPr>
          <w:ilvl w:val="0"/>
          <w:numId w:val="1002"/>
        </w:numPr>
        <w:pStyle w:val="Compact"/>
      </w:pPr>
      <w:r>
        <w:t xml:space="preserve">High level of organizational and operational competence.</w:t>
      </w:r>
    </w:p>
    <w:bookmarkEnd w:id="28"/>
    <w:bookmarkStart w:id="29" w:name="areas-for-development"/>
    <w:p>
      <w:pPr>
        <w:pStyle w:val="Heading2"/>
      </w:pPr>
      <w:r>
        <w:t xml:space="preserve">5. Areas for Development</w:t>
      </w:r>
    </w:p>
    <w:p>
      <w:pPr>
        <w:numPr>
          <w:ilvl w:val="0"/>
          <w:numId w:val="1003"/>
        </w:numPr>
        <w:pStyle w:val="Compact"/>
      </w:pPr>
      <w:r>
        <w:t xml:space="preserve">Further integration of digital tools to enhance administrative efficiency and student engagement.</w:t>
      </w:r>
    </w:p>
    <w:p>
      <w:pPr>
        <w:numPr>
          <w:ilvl w:val="0"/>
          <w:numId w:val="1003"/>
        </w:numPr>
        <w:pStyle w:val="Compact"/>
      </w:pPr>
      <w:r>
        <w:t xml:space="preserve">Increased focus on data-driven decision-making to inform teaching and learning strategies.</w:t>
      </w:r>
    </w:p>
    <w:p>
      <w:pPr>
        <w:numPr>
          <w:ilvl w:val="0"/>
          <w:numId w:val="1003"/>
        </w:numPr>
        <w:pStyle w:val="Compact"/>
      </w:pPr>
      <w:r>
        <w:t xml:space="preserve">Opportunities to deepen partnerships with local iwi and community leaders.</w:t>
      </w:r>
    </w:p>
    <w:p>
      <w:pPr>
        <w:numPr>
          <w:ilvl w:val="0"/>
          <w:numId w:val="1003"/>
        </w:numPr>
        <w:pStyle w:val="Compact"/>
      </w:pPr>
      <w:r>
        <w:t xml:space="preserve">Continued professional development in emerging educational trends and leadership practices.</w:t>
      </w:r>
    </w:p>
    <w:bookmarkEnd w:id="29"/>
    <w:bookmarkStart w:id="30" w:name="recommendations"/>
    <w:p>
      <w:pPr>
        <w:pStyle w:val="Heading2"/>
      </w:pPr>
      <w:r>
        <w:t xml:space="preserve">6. Recommendations</w:t>
      </w:r>
    </w:p>
    <w:p>
      <w:pPr>
        <w:pStyle w:val="FirstParagraph"/>
      </w:pPr>
      <w:r>
        <w:t xml:space="preserve">To further enhance their effectiveness as an Education Administrator in Auckland, New Zealand, the following actions are recommended:</w:t>
      </w:r>
    </w:p>
    <w:p>
      <w:pPr>
        <w:numPr>
          <w:ilvl w:val="0"/>
          <w:numId w:val="1004"/>
        </w:numPr>
        <w:pStyle w:val="Compact"/>
      </w:pPr>
      <w:r>
        <w:t xml:space="preserve">Engage in targeted professional development focused on educational technology and data analytics.</w:t>
      </w:r>
    </w:p>
    <w:p>
      <w:pPr>
        <w:numPr>
          <w:ilvl w:val="0"/>
          <w:numId w:val="1004"/>
        </w:numPr>
        <w:pStyle w:val="Compact"/>
      </w:pPr>
      <w:r>
        <w:t xml:space="preserve">Establish a formal advisory group including iwi representatives and community leaders to guide strategic initiatives.</w:t>
      </w:r>
    </w:p>
    <w:p>
      <w:pPr>
        <w:numPr>
          <w:ilvl w:val="0"/>
          <w:numId w:val="1004"/>
        </w:numPr>
        <w:pStyle w:val="Compact"/>
      </w:pPr>
      <w:r>
        <w:t xml:space="preserve">Implement regular review cycles for administrative processes to ensure continuous improvement.</w:t>
      </w:r>
    </w:p>
    <w:p>
      <w:pPr>
        <w:numPr>
          <w:ilvl w:val="0"/>
          <w:numId w:val="1004"/>
        </w:numPr>
        <w:pStyle w:val="Compact"/>
      </w:pPr>
      <w:r>
        <w:t xml:space="preserve">Promote and document best practices in culturally responsive leadership to share across the Auckland education sector.</w:t>
      </w:r>
    </w:p>
    <w:bookmarkEnd w:id="30"/>
    <w:bookmarkStart w:id="31" w:name="conclusion"/>
    <w:p>
      <w:pPr>
        <w:pStyle w:val="Heading2"/>
      </w:pPr>
      <w:r>
        <w:t xml:space="preserve">7. Conclusion</w:t>
      </w:r>
    </w:p>
    <w:p>
      <w:pPr>
        <w:pStyle w:val="FirstParagraph"/>
      </w:pPr>
      <w:r>
        <w:t xml:space="preserve">This Peer Review Report confirms that the Education Administrator has performed at a high level, demonstrating strong leadership, a deep commitment to educational excellence, and a genuine respect for the cultural diversity of Auckland. Their contributions have positively impacted student outcomes, staff morale, and community relations. With continued focus on the identified areas for development, they are well-positioned to make even greater contributions to the education sector in New Zealand.</w:t>
      </w:r>
    </w:p>
    <w:bookmarkEnd w:id="31"/>
    <w:p>
      <w:pPr>
        <w:pStyle w:val="BodyText"/>
      </w:pPr>
      <w:r>
        <w:rPr>
          <w:bCs/>
          <w:b/>
        </w:rPr>
        <w:t xml:space="preserve">Reviewer Name:</w:t>
      </w:r>
      <w:r>
        <w:t xml:space="preserve"> </w:t>
      </w:r>
      <w:r>
        <w:t xml:space="preserve">________________________</w:t>
      </w:r>
    </w:p>
    <w:p>
      <w:pPr>
        <w:pStyle w:val="BodyText"/>
      </w:pPr>
      <w:r>
        <w:rPr>
          <w:bCs/>
          <w:b/>
        </w:rPr>
        <w:t xml:space="preserve">Role:</w:t>
      </w:r>
      <w:r>
        <w:t xml:space="preserve"> </w:t>
      </w:r>
      <w:r>
        <w:t xml:space="preserve">________________________</w:t>
      </w:r>
    </w:p>
    <w:p>
      <w:pPr>
        <w:pStyle w:val="BodyText"/>
      </w:pPr>
      <w:r>
        <w:rPr>
          <w:bCs/>
          <w:b/>
        </w:rPr>
        <w:t xml:space="preserve">Signature:</w:t>
      </w:r>
      <w:r>
        <w:t xml:space="preserve"> </w:t>
      </w:r>
      <w:r>
        <w:t xml:space="preserve">________________________</w:t>
      </w:r>
    </w:p>
    <w:p>
      <w:pPr>
        <w:pStyle w:val="BodyText"/>
      </w:pPr>
      <w:r>
        <w:rPr>
          <w:bCs/>
          <w:b/>
        </w:rPr>
        <w:t xml:space="preserve">Education Administrator:</w:t>
      </w:r>
      <w:r>
        <w:t xml:space="preserve"> </w:t>
      </w:r>
      <w:r>
        <w:t xml:space="preserve">________________________</w:t>
      </w:r>
    </w:p>
    <w:p>
      <w:pPr>
        <w:pStyle w:val="BodyText"/>
      </w:pPr>
      <w:r>
        <w:rPr>
          <w:bCs/>
          <w:b/>
        </w:rPr>
        <w:t xml:space="preserve">Signature:</w:t>
      </w:r>
      <w:r>
        <w:t xml:space="preserve"> </w:t>
      </w:r>
      <w:r>
        <w:t xml:space="preserve">________________________</w:t>
      </w:r>
    </w:p>
    <w:p>
      <w:pPr>
        <w:pStyle w:val="BodyText"/>
      </w:pPr>
      <w:r>
        <w:rPr>
          <w:bCs/>
          <w:b/>
        </w:rPr>
        <w:t xml:space="preserve">Date:</w:t>
      </w:r>
      <w:r>
        <w:t xml:space="preserve"> </w:t>
      </w:r>
      <w:r>
        <w:t xml:space="preserve">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Auckland, New Zealand</dc:title>
  <dc:creator/>
  <dc:language>en</dc:language>
  <cp:keywords/>
  <dcterms:created xsi:type="dcterms:W3CDTF">2026-10-10T02:04:34Z</dcterms:created>
  <dcterms:modified xsi:type="dcterms:W3CDTF">2026-10-10T02:04:34Z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