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Education</w:t>
      </w:r>
      <w:r>
        <w:t xml:space="preserve"> </w:t>
      </w:r>
      <w:r>
        <w:t xml:space="preserve">Administrator</w:t>
      </w:r>
    </w:p>
    <w:bookmarkStart w:id="20" w:name="peer-review-report"/>
    <w:p>
      <w:pPr>
        <w:pStyle w:val="Heading1"/>
      </w:pPr>
      <w:r>
        <w:t xml:space="preserve">Peer Review Report</w:t>
      </w:r>
    </w:p>
    <w:p>
      <w:pPr>
        <w:pStyle w:val="FirstParagraph"/>
      </w:pPr>
      <w:r>
        <w:t xml:space="preserve">Performance Evaluation and Professional Development Assessment</w:t>
      </w:r>
    </w:p>
    <w:p>
      <w:pPr>
        <w:pStyle w:val="BodyText"/>
      </w:pPr>
      <w:r>
        <w:t xml:space="preserve">Subject:</w:t>
      </w:r>
      <w:r>
        <w:t xml:space="preserve"> </w:t>
      </w:r>
      <w:r>
        <w:t xml:space="preserve">Education Administrator</w:t>
      </w:r>
    </w:p>
    <w:p>
      <w:pPr>
        <w:pStyle w:val="BodyText"/>
      </w:pPr>
      <w:r>
        <w:t xml:space="preserve">Location:</w:t>
      </w:r>
      <w:r>
        <w:t xml:space="preserve"> </w:t>
      </w:r>
      <w:r>
        <w:t xml:space="preserve">Philippines Manila (DepEd Region IV-A / NCR Context)</w:t>
      </w:r>
    </w:p>
    <w:p>
      <w:pPr>
        <w:pStyle w:val="BodyText"/>
      </w:pPr>
      <w:r>
        <w:t xml:space="preserve">Date of Review:</w:t>
      </w:r>
      <w:r>
        <w:t xml:space="preserve"> </w:t>
      </w:r>
      <w:r>
        <w:t xml:space="preserve">October 24, 2023</w:t>
      </w:r>
    </w:p>
    <w:p>
      <w:pPr>
        <w:pStyle w:val="BodyText"/>
      </w:pPr>
      <w:r>
        <w:t xml:space="preserve">Review Cycle:</w:t>
      </w:r>
      <w:r>
        <w:t xml:space="preserve"> </w:t>
      </w:r>
      <w:r>
        <w:t xml:space="preserve">Annual Performance Evaluation</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serves as a comprehensive assessment of the professional competencies, leadership capabilities, and administrative efficiency of the designated</w:t>
      </w:r>
      <w:r>
        <w:t xml:space="preserve"> </w:t>
      </w:r>
      <w:r>
        <w:rPr>
          <w:bCs/>
          <w:b/>
        </w:rPr>
        <w:t xml:space="preserve">Education Administrator</w:t>
      </w:r>
      <w:r>
        <w:t xml:space="preserve"> </w:t>
      </w:r>
      <w:r>
        <w:t xml:space="preserve">operating within the dynamic educational landscape of</w:t>
      </w:r>
      <w:r>
        <w:t xml:space="preserve"> </w:t>
      </w:r>
      <w:r>
        <w:rPr>
          <w:bCs/>
          <w:b/>
        </w:rPr>
        <w:t xml:space="preserve">Philippines Manila</w:t>
      </w:r>
      <w:r>
        <w:t xml:space="preserve">. The review process was conducted in accordance with the standards set by the Department of Education (DepEd) and local district guidelines. The primary objective of this evaluation is to provide constructive feedback that aligns with the national goals of improving basic education quality, ensuring inclusive learning environments, and fostering administrative excellence in one of the most densely populated and culturally diverse regions in the country.</w:t>
      </w:r>
    </w:p>
    <w:p>
      <w:pPr>
        <w:pStyle w:val="BodyText"/>
      </w:pPr>
      <w:r>
        <w:t xml:space="preserve">The subject of this review has demonstrated a commendable commitment to the Philippine educational system. Over the past evaluation period, the</w:t>
      </w:r>
      <w:r>
        <w:t xml:space="preserve"> </w:t>
      </w:r>
      <w:r>
        <w:rPr>
          <w:bCs/>
          <w:b/>
        </w:rPr>
        <w:t xml:space="preserve">Education Administrator</w:t>
      </w:r>
      <w:r>
        <w:t xml:space="preserve"> </w:t>
      </w:r>
      <w:r>
        <w:t xml:space="preserve">has navigated complex challenges specific to the Manila context, including resource allocation in high-density schools, implementation of the K-12 curriculum enhancements, and the integration of digital learning tools amidst infrastructural limitations. This report details specific observations, strengths, areas for improvement, and strategic recommendations to further elevate the administrator's impact on student outcomes and teacher development.</w:t>
      </w:r>
    </w:p>
    <w:bookmarkEnd w:id="21"/>
    <w:bookmarkStart w:id="22" w:name="administrative-leadership-and-management"/>
    <w:p>
      <w:pPr>
        <w:pStyle w:val="Heading2"/>
      </w:pPr>
      <w:r>
        <w:t xml:space="preserve">2. Administrative Leadership and Management</w:t>
      </w:r>
    </w:p>
    <w:p>
      <w:pPr>
        <w:pStyle w:val="FirstParagraph"/>
      </w:pPr>
      <w:r>
        <w:t xml:space="preserve">Effective leadership is the cornerstone of a successful school system in</w:t>
      </w:r>
      <w:r>
        <w:t xml:space="preserve"> </w:t>
      </w:r>
      <w:r>
        <w:rPr>
          <w:bCs/>
          <w:b/>
        </w:rPr>
        <w:t xml:space="preserve">Philippines Manila</w:t>
      </w:r>
      <w:r>
        <w:t xml:space="preserve">. The</w:t>
      </w:r>
      <w:r>
        <w:t xml:space="preserve"> </w:t>
      </w:r>
      <w:r>
        <w:rPr>
          <w:bCs/>
          <w:b/>
        </w:rPr>
        <w:t xml:space="preserve">Education Administrator</w:t>
      </w:r>
      <w:r>
        <w:t xml:space="preserve"> </w:t>
      </w:r>
      <w:r>
        <w:t xml:space="preserve">under review has exhibited strong managerial skills, particularly in maintaining school governance and operational continuity. The peer review panel observed a high level of proficiency in managing school budgets, ensuring transparency in fund utilization, and adhering to the strict procurement policies mandated by the government.</w:t>
      </w:r>
    </w:p>
    <w:p>
      <w:pPr>
        <w:pStyle w:val="BodyText"/>
      </w:pPr>
      <w:r>
        <w:t xml:space="preserve">Furthermore, the administrator has successfully fostered a collaborative culture among faculty and staff. In the high-pressure environment of Manila public schools, the ability to maintain staff morale is critical. The subject has implemented regular faculty meetings and professional learning communities (PLCs) that encourage open dialogue and shared problem-solving. This approach has resulted in improved teacher retention rates and a more cohesive school community. However, the review notes that while internal communication is strong, external stakeholder engagement with local government units (LGUs) and non-government organizations (NGOs) in Manila could be further strengthened to secure additional resources for the school.</w:t>
      </w:r>
    </w:p>
    <w:bookmarkEnd w:id="22"/>
    <w:bookmarkStart w:id="23" w:name="Xb351cd4d6eca925ca5579fca43ba6f878013e86"/>
    <w:p>
      <w:pPr>
        <w:pStyle w:val="Heading2"/>
      </w:pPr>
      <w:r>
        <w:t xml:space="preserve">3. Curriculum Implementation and Instructional Supervision</w:t>
      </w:r>
    </w:p>
    <w:p>
      <w:pPr>
        <w:pStyle w:val="FirstParagraph"/>
      </w:pPr>
      <w:r>
        <w:t xml:space="preserve">A core responsibility of any</w:t>
      </w:r>
      <w:r>
        <w:t xml:space="preserve"> </w:t>
      </w:r>
      <w:r>
        <w:rPr>
          <w:bCs/>
          <w:b/>
        </w:rPr>
        <w:t xml:space="preserve">Education Administrator</w:t>
      </w:r>
      <w:r>
        <w:t xml:space="preserve"> </w:t>
      </w:r>
      <w:r>
        <w:t xml:space="preserve">is to ensure the faithful and effective implementation of the curriculum. In the context of</w:t>
      </w:r>
      <w:r>
        <w:t xml:space="preserve"> </w:t>
      </w:r>
      <w:r>
        <w:rPr>
          <w:bCs/>
          <w:b/>
        </w:rPr>
        <w:t xml:space="preserve">Philippines Manila</w:t>
      </w:r>
      <w:r>
        <w:t xml:space="preserve">, this involves adapting national standards to meet the diverse needs of urban learners. The peer review highlights the administrator's proactive approach to instructional supervision. Regular classroom observations and data-driven feedback sessions have been conducted, leading to measurable improvements in teaching practices.</w:t>
      </w:r>
    </w:p>
    <w:p>
      <w:pPr>
        <w:pStyle w:val="BodyText"/>
      </w:pPr>
      <w:r>
        <w:t xml:space="preserve">The administrator has shown particular strength in promoting the use of localized learning materials that resonate with the cultural and linguistic background of Manila students. This culturally responsive approach has enhanced student engagement and comprehension. Additionally, the integration of technology in the classroom has been prioritized, with the administrator facilitating training workshops on digital literacy for teachers. Despite these successes, the report identifies a need for more robust monitoring of learning recovery programs, especially for students who have faced disruptions in their education due to socio-economic factors prevalent in the city.</w:t>
      </w:r>
    </w:p>
    <w:bookmarkEnd w:id="23"/>
    <w:bookmarkStart w:id="24" w:name="school-climate-and-student-welfare"/>
    <w:p>
      <w:pPr>
        <w:pStyle w:val="Heading2"/>
      </w:pPr>
      <w:r>
        <w:t xml:space="preserve">4. School Climate and Student Welfare</w:t>
      </w:r>
    </w:p>
    <w:p>
      <w:pPr>
        <w:pStyle w:val="FirstParagraph"/>
      </w:pPr>
      <w:r>
        <w:t xml:space="preserve">Creating a safe, inclusive, and nurturing school environment is paramount. The</w:t>
      </w:r>
      <w:r>
        <w:t xml:space="preserve"> </w:t>
      </w:r>
      <w:r>
        <w:rPr>
          <w:bCs/>
          <w:b/>
        </w:rPr>
        <w:t xml:space="preserve">Education Administrator</w:t>
      </w:r>
      <w:r>
        <w:t xml:space="preserve"> </w:t>
      </w:r>
      <w:r>
        <w:t xml:space="preserve">has been instrumental in establishing policies that protect student rights and promote positive behavior. The implementation of anti-bullying programs and guidance services has been effective in addressing behavioral issues and supporting the mental health of students in</w:t>
      </w:r>
      <w:r>
        <w:t xml:space="preserve"> </w:t>
      </w:r>
      <w:r>
        <w:rPr>
          <w:bCs/>
          <w:b/>
        </w:rPr>
        <w:t xml:space="preserve">Philippines Manila</w:t>
      </w:r>
      <w:r>
        <w:t xml:space="preserve">.</w:t>
      </w:r>
    </w:p>
    <w:p>
      <w:pPr>
        <w:pStyle w:val="BodyText"/>
      </w:pPr>
      <w:r>
        <w:t xml:space="preserve">The review panel commends the administrator's efforts in ensuring that the school is accessible to learners with special needs, in line with the Inclusive Education policy. However, there is room for improvement in expanding community-based interventions. Engaging parents and local community leaders more deeply in student welfare initiatives could provide a stronger support network for at-risk youth in the urban setting.</w:t>
      </w:r>
    </w:p>
    <w:bookmarkEnd w:id="24"/>
    <w:bookmarkStart w:id="25" w:name="Xda79409093af40bd3d15ed7d2a5582dbca223f1"/>
    <w:p>
      <w:pPr>
        <w:pStyle w:val="Heading2"/>
      </w:pPr>
      <w:r>
        <w:t xml:space="preserve">5. Areas for Improvement and Recommendations</w:t>
      </w:r>
    </w:p>
    <w:p>
      <w:pPr>
        <w:pStyle w:val="FirstParagraph"/>
      </w:pPr>
      <w:r>
        <w:t xml:space="preserve">Based on the findings of this</w:t>
      </w:r>
      <w:r>
        <w:t xml:space="preserve"> </w:t>
      </w:r>
      <w:r>
        <w:rPr>
          <w:bCs/>
          <w:b/>
        </w:rPr>
        <w:t xml:space="preserve">Peer Review Report</w:t>
      </w:r>
      <w:r>
        <w:t xml:space="preserve">, the following recommendations are proposed to enhance the performance of the</w:t>
      </w:r>
      <w:r>
        <w:t xml:space="preserve"> </w:t>
      </w:r>
      <w:r>
        <w:rPr>
          <w:bCs/>
          <w:b/>
        </w:rPr>
        <w:t xml:space="preserve">Education Administrator</w:t>
      </w:r>
      <w:r>
        <w:t xml:space="preserve">:</w:t>
      </w:r>
    </w:p>
    <w:p>
      <w:pPr>
        <w:numPr>
          <w:ilvl w:val="0"/>
          <w:numId w:val="1001"/>
        </w:numPr>
        <w:pStyle w:val="Compact"/>
      </w:pPr>
      <w:r>
        <w:rPr>
          <w:bCs/>
          <w:b/>
        </w:rPr>
        <w:t xml:space="preserve">Strategic Partnerships:</w:t>
      </w:r>
      <w:r>
        <w:t xml:space="preserve"> </w:t>
      </w:r>
      <w:r>
        <w:t xml:space="preserve">Develop stronger alliances with private sector partners and NGOs in Manila to secure funding, learning materials, and internship opportunities for students.</w:t>
      </w:r>
    </w:p>
    <w:p>
      <w:pPr>
        <w:numPr>
          <w:ilvl w:val="0"/>
          <w:numId w:val="1001"/>
        </w:numPr>
        <w:pStyle w:val="Compact"/>
      </w:pPr>
      <w:r>
        <w:rPr>
          <w:bCs/>
          <w:b/>
        </w:rPr>
        <w:t xml:space="preserve">Data-Driven Decision Making:</w:t>
      </w:r>
      <w:r>
        <w:t xml:space="preserve"> </w:t>
      </w:r>
      <w:r>
        <w:t xml:space="preserve">Enhance the use of educational data analytics to identify learning gaps early and tailor interventions more precisely to student needs.</w:t>
      </w:r>
    </w:p>
    <w:p>
      <w:pPr>
        <w:numPr>
          <w:ilvl w:val="0"/>
          <w:numId w:val="1001"/>
        </w:numPr>
        <w:pStyle w:val="Compact"/>
      </w:pPr>
      <w:r>
        <w:rPr>
          <w:bCs/>
          <w:b/>
        </w:rPr>
        <w:t xml:space="preserve">Professional Development:</w:t>
      </w:r>
      <w:r>
        <w:t xml:space="preserve"> </w:t>
      </w:r>
      <w:r>
        <w:t xml:space="preserve">Pursue advanced training in crisis management and digital leadership to better prepare for future challenges in the urban education sector.</w:t>
      </w:r>
    </w:p>
    <w:p>
      <w:pPr>
        <w:numPr>
          <w:ilvl w:val="0"/>
          <w:numId w:val="1001"/>
        </w:numPr>
        <w:pStyle w:val="Compact"/>
      </w:pPr>
      <w:r>
        <w:rPr>
          <w:bCs/>
          <w:b/>
        </w:rPr>
        <w:t xml:space="preserve">Community Engagement:</w:t>
      </w:r>
      <w:r>
        <w:t xml:space="preserve"> </w:t>
      </w:r>
      <w:r>
        <w:t xml:space="preserve">Institutionalize regular forums with parents and local stakeholders to foster a sense of shared responsibility for school improvement.</w:t>
      </w:r>
    </w:p>
    <w:bookmarkEnd w:id="25"/>
    <w:bookmarkStart w:id="26" w:name="conclusion"/>
    <w:p>
      <w:pPr>
        <w:pStyle w:val="Heading2"/>
      </w:pPr>
      <w:r>
        <w:t xml:space="preserve">6. Conclusion</w:t>
      </w:r>
    </w:p>
    <w:p>
      <w:pPr>
        <w:pStyle w:val="FirstParagraph"/>
      </w:pPr>
      <w:r>
        <w:t xml:space="preserve">In conclusion, this</w:t>
      </w:r>
      <w:r>
        <w:t xml:space="preserve"> </w:t>
      </w:r>
      <w:r>
        <w:rPr>
          <w:bCs/>
          <w:b/>
        </w:rPr>
        <w:t xml:space="preserve">Peer Review Report</w:t>
      </w:r>
      <w:r>
        <w:t xml:space="preserve"> </w:t>
      </w:r>
      <w:r>
        <w:t xml:space="preserve">affirms that the</w:t>
      </w:r>
      <w:r>
        <w:t xml:space="preserve"> </w:t>
      </w:r>
      <w:r>
        <w:rPr>
          <w:bCs/>
          <w:b/>
        </w:rPr>
        <w:t xml:space="preserve">Education Administrator</w:t>
      </w:r>
      <w:r>
        <w:t xml:space="preserve"> </w:t>
      </w:r>
      <w:r>
        <w:t xml:space="preserve">is a dedicated and competent leader who significantly contributes to the educational landscape of</w:t>
      </w:r>
      <w:r>
        <w:t xml:space="preserve"> </w:t>
      </w:r>
      <w:r>
        <w:rPr>
          <w:bCs/>
          <w:b/>
        </w:rPr>
        <w:t xml:space="preserve">Philippines Manila</w:t>
      </w:r>
      <w:r>
        <w:t xml:space="preserve">. The administrator's commitment to excellence, coupled with a deep understanding of the local context, positions them as a valuable asset to the Department of Education. By addressing the identified areas for improvement and implementing the recommended strategies, the administrator is well-equipped to drive further positive change and ensure that every student in Manila receives a quality education.</w:t>
      </w:r>
    </w:p>
    <w:p>
      <w:pPr>
        <w:pStyle w:val="BodyText"/>
      </w:pPr>
      <w:r>
        <w:rPr>
          <w:bCs/>
          <w:b/>
        </w:rPr>
        <w:t xml:space="preserve">Overall Performance Rating:</w:t>
      </w:r>
      <w:r>
        <w:t xml:space="preserve"> </w:t>
      </w:r>
      <w:r>
        <w:t xml:space="preserve">Highly Satisfactory</w:t>
      </w:r>
      <w:r>
        <w:br/>
      </w:r>
      <w:r>
        <w:rPr>
          <w:bCs/>
          <w:b/>
        </w:rPr>
        <w:t xml:space="preserve">Recommendation:</w:t>
      </w:r>
      <w:r>
        <w:t xml:space="preserve"> </w:t>
      </w:r>
      <w:r>
        <w:t xml:space="preserve">Continue in current role with focus on strategic growth and community partnership development.</w:t>
      </w:r>
    </w:p>
    <w:bookmarkEnd w:id="26"/>
    <w:p>
      <w:pPr>
        <w:pStyle w:val="BodyText"/>
      </w:pPr>
      <w:r>
        <w:rPr>
          <w:bCs/>
          <w:b/>
        </w:rPr>
        <w:t xml:space="preserve">Prepared by:</w:t>
      </w:r>
    </w:p>
    <w:p>
      <w:pPr>
        <w:pStyle w:val="BodyText"/>
      </w:pPr>
      <w:r>
        <w:t xml:space="preserve">Peer Review Panel Chairperson</w:t>
      </w:r>
    </w:p>
    <w:p>
      <w:pPr>
        <w:pStyle w:val="BodyText"/>
      </w:pPr>
      <w:r>
        <w:t xml:space="preserve">Signature over Printed Name</w:t>
      </w:r>
    </w:p>
    <w:p>
      <w:pPr>
        <w:pStyle w:val="BodyText"/>
      </w:pPr>
      <w:r>
        <w:rPr>
          <w:bCs/>
          <w:b/>
        </w:rPr>
        <w:t xml:space="preserve">Reviewed by:</w:t>
      </w:r>
    </w:p>
    <w:p>
      <w:pPr>
        <w:pStyle w:val="BodyText"/>
      </w:pPr>
      <w:r>
        <w:t xml:space="preserve">Schools Division Superintendent</w:t>
      </w:r>
    </w:p>
    <w:p>
      <w:pPr>
        <w:pStyle w:val="BodyText"/>
      </w:pPr>
      <w:r>
        <w:t xml:space="preserve">Signature over Printed Name</w:t>
      </w:r>
    </w:p>
    <w:p>
      <w:pPr>
        <w:pStyle w:val="BodyText"/>
      </w:pPr>
      <w:r>
        <w:t xml:space="preserve">© 2023 Department of Education - Region IV-A / NCR. Confidential Document. For internal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Education Administrator</dc:title>
  <dc:creator/>
  <dc:language>en</dc:language>
  <cp:keywords/>
  <dcterms:created xsi:type="dcterms:W3CDTF">2026-10-10T07:01:38Z</dcterms:created>
  <dcterms:modified xsi:type="dcterms:W3CDTF">2026-10-10T07:01:38Z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