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Education Administrator</w:t>
      </w:r>
    </w:p>
    <w:p>
      <w:pPr>
        <w:pStyle w:val="BodyText"/>
      </w:pPr>
      <w:r>
        <w:rPr>
          <w:bCs/>
          <w:b/>
        </w:rPr>
        <w:t xml:space="preserve">Location:</w:t>
      </w:r>
      <w:r>
        <w:t xml:space="preserve"> </w:t>
      </w:r>
      <w:r>
        <w:t xml:space="preserve">Jeddah, Saudi Arabia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performance, leadership capabilities, and strategic contributions of the Education Administrator at our institution in Jeddah, Saudi Arabia. The review aligns with the national educational goals outlined in Saudi Vision 2030, which emphasizes the development of a robust, innovative, and inclusive education system. The Education Administrator plays a pivotal role in ensuring that our institution meets these national standards while fostering a culturally responsive and academically rigorous environment for students and staff.</w:t>
      </w:r>
    </w:p>
    <w:p>
      <w:pPr>
        <w:pStyle w:val="BodyText"/>
      </w:pPr>
      <w:r>
        <w:t xml:space="preserve">The purpose of this review is to provide a comprehensive assessment of the administrator’s effectiveness in managing educational operations, implementing curriculum reforms, promoting professional development, and enhancing stakeholder engagement. This report is based on observations, interviews, document analysis, and feedback from teachers, students, parents, and community members.</w:t>
      </w:r>
    </w:p>
    <w:bookmarkEnd w:id="21"/>
    <w:bookmarkStart w:id="22" w:name="leadership-and-vision"/>
    <w:p>
      <w:pPr>
        <w:pStyle w:val="Heading2"/>
      </w:pPr>
      <w:r>
        <w:t xml:space="preserve">2. Leadership and Vision</w:t>
      </w:r>
    </w:p>
    <w:p>
      <w:pPr>
        <w:pStyle w:val="FirstParagraph"/>
      </w:pPr>
      <w:r>
        <w:t xml:space="preserve">The Education Administrator has demonstrated strong leadership by articulating a clear vision for educational excellence that aligns with both local and national priorities. In Jeddah, where cultural diversity and rapid educational transformation are prominent, the administrator has successfully integrated modern pedagogical approaches with traditional values. This balance has been crucial in maintaining community trust while advancing educational innovation.</w:t>
      </w:r>
    </w:p>
    <w:p>
      <w:pPr>
        <w:pStyle w:val="BodyText"/>
      </w:pPr>
      <w:r>
        <w:t xml:space="preserve">Key achievements in this area include:</w:t>
      </w:r>
    </w:p>
    <w:p>
      <w:pPr>
        <w:numPr>
          <w:ilvl w:val="0"/>
          <w:numId w:val="1001"/>
        </w:numPr>
        <w:pStyle w:val="Compact"/>
      </w:pPr>
      <w:r>
        <w:t xml:space="preserve">Developing a strategic plan that prioritizes student-centered learning, teacher empowerment, and technological integration.</w:t>
      </w:r>
    </w:p>
    <w:p>
      <w:pPr>
        <w:numPr>
          <w:ilvl w:val="0"/>
          <w:numId w:val="1001"/>
        </w:numPr>
        <w:pStyle w:val="Compact"/>
      </w:pPr>
      <w:r>
        <w:t xml:space="preserve">Establishing a leadership team that reflects the diversity of the Jeddah community and promotes collaborative decision-making.</w:t>
      </w:r>
    </w:p>
    <w:p>
      <w:pPr>
        <w:numPr>
          <w:ilvl w:val="0"/>
          <w:numId w:val="1001"/>
        </w:numPr>
        <w:pStyle w:val="Compact"/>
      </w:pPr>
      <w:r>
        <w:t xml:space="preserve">Championing initiatives that support gender equity in education, in line with Saudi Arabia’s broader social reforms.</w:t>
      </w:r>
    </w:p>
    <w:p>
      <w:pPr>
        <w:pStyle w:val="FirstParagraph"/>
      </w:pPr>
      <w:r>
        <w:t xml:space="preserve">The administrator’s ability to inspire and guide staff has been evident in the high levels of morale and engagement reported by teachers. However, there is room for further development in delegating responsibilities to emerging leaders within the organization.</w:t>
      </w:r>
    </w:p>
    <w:bookmarkEnd w:id="22"/>
    <w:bookmarkStart w:id="23" w:name="curriculum-and-instructional-quality"/>
    <w:p>
      <w:pPr>
        <w:pStyle w:val="Heading2"/>
      </w:pPr>
      <w:r>
        <w:t xml:space="preserve">3. Curriculum and Instructional Quality</w:t>
      </w:r>
    </w:p>
    <w:p>
      <w:pPr>
        <w:pStyle w:val="FirstParagraph"/>
      </w:pPr>
      <w:r>
        <w:t xml:space="preserve">One of the core responsibilities of the Education Administrator is to ensure the delivery of a high-quality curriculum that meets the needs of all learners. In this review period, the administrator has overseen significant improvements in curriculum design and implementation, particularly in STEM (Science, Technology, Engineering, and Mathematics) and digital literacy.</w:t>
      </w:r>
    </w:p>
    <w:p>
      <w:pPr>
        <w:pStyle w:val="BodyText"/>
      </w:pPr>
      <w:r>
        <w:t xml:space="preserve">Notable accomplishments include:</w:t>
      </w:r>
    </w:p>
    <w:p>
      <w:pPr>
        <w:numPr>
          <w:ilvl w:val="0"/>
          <w:numId w:val="1002"/>
        </w:numPr>
        <w:pStyle w:val="Compact"/>
      </w:pPr>
      <w:r>
        <w:t xml:space="preserve">Introducing project-based learning modules that encourage critical thinking and problem-solving skills.</w:t>
      </w:r>
    </w:p>
    <w:p>
      <w:pPr>
        <w:numPr>
          <w:ilvl w:val="0"/>
          <w:numId w:val="1002"/>
        </w:numPr>
        <w:pStyle w:val="Compact"/>
      </w:pPr>
      <w:r>
        <w:t xml:space="preserve">Aligning curriculum standards with the Ministry of Education’s guidelines while incorporating international best practices.</w:t>
      </w:r>
    </w:p>
    <w:p>
      <w:pPr>
        <w:numPr>
          <w:ilvl w:val="0"/>
          <w:numId w:val="1002"/>
        </w:numPr>
        <w:pStyle w:val="Compact"/>
      </w:pPr>
      <w:r>
        <w:t xml:space="preserve">Implementing formative assessment strategies that provide timely feedback to students and inform instructional adjustments.</w:t>
      </w:r>
    </w:p>
    <w:p>
      <w:pPr>
        <w:pStyle w:val="FirstParagraph"/>
      </w:pPr>
      <w:r>
        <w:t xml:space="preserve">Despite these successes, the review identified a need for more consistent monitoring of curriculum implementation across different grade levels. Additionally, there is an opportunity to enhance the integration of Arabic language and Islamic studies with modern educational methodologies to better serve the local context.</w:t>
      </w:r>
    </w:p>
    <w:bookmarkEnd w:id="23"/>
    <w:bookmarkStart w:id="24" w:name="X49e061203c199849d35a155436955a3b98c73c2"/>
    <w:p>
      <w:pPr>
        <w:pStyle w:val="Heading2"/>
      </w:pPr>
      <w:r>
        <w:t xml:space="preserve">4. Professional Development and Staff Support</w:t>
      </w:r>
    </w:p>
    <w:p>
      <w:pPr>
        <w:pStyle w:val="FirstParagraph"/>
      </w:pPr>
      <w:r>
        <w:t xml:space="preserve">The Education Administrator has placed a strong emphasis on continuous professional development for teachers and support staff. Recognizing that teacher quality is a key driver of student success, the administrator has organized regular workshops, training sessions, and mentoring programs focused on pedagogical innovation, classroom management, and cultural competence.</w:t>
      </w:r>
    </w:p>
    <w:p>
      <w:pPr>
        <w:pStyle w:val="BodyText"/>
      </w:pPr>
      <w:r>
        <w:t xml:space="preserve">Key initiatives include:</w:t>
      </w:r>
    </w:p>
    <w:p>
      <w:pPr>
        <w:numPr>
          <w:ilvl w:val="0"/>
          <w:numId w:val="1003"/>
        </w:numPr>
        <w:pStyle w:val="Compact"/>
      </w:pPr>
      <w:r>
        <w:t xml:space="preserve">Partnering with local universities and educational organizations in Jeddah to provide specialized training opportunities.</w:t>
      </w:r>
    </w:p>
    <w:p>
      <w:pPr>
        <w:numPr>
          <w:ilvl w:val="0"/>
          <w:numId w:val="1003"/>
        </w:numPr>
        <w:pStyle w:val="Compact"/>
      </w:pPr>
      <w:r>
        <w:t xml:space="preserve">Creating a peer coaching program that encourages collaborative learning among teachers.</w:t>
      </w:r>
    </w:p>
    <w:p>
      <w:pPr>
        <w:numPr>
          <w:ilvl w:val="0"/>
          <w:numId w:val="1003"/>
        </w:numPr>
        <w:pStyle w:val="Compact"/>
      </w:pPr>
      <w:r>
        <w:t xml:space="preserve">Providing resources and support for teachers to integrate technology into their instruction effectively.</w:t>
      </w:r>
    </w:p>
    <w:p>
      <w:pPr>
        <w:pStyle w:val="FirstParagraph"/>
      </w:pPr>
      <w:r>
        <w:t xml:space="preserve">Feedback from staff indicates high satisfaction with the professional development offerings. However, the review suggests that more personalized support and career development pathways could further enhance teacher retention and motivation.</w:t>
      </w:r>
    </w:p>
    <w:bookmarkEnd w:id="24"/>
    <w:bookmarkStart w:id="25" w:name="student-outcomes-and-well-being"/>
    <w:p>
      <w:pPr>
        <w:pStyle w:val="Heading2"/>
      </w:pPr>
      <w:r>
        <w:t xml:space="preserve">5. Student Outcomes and Well-being</w:t>
      </w:r>
    </w:p>
    <w:p>
      <w:pPr>
        <w:pStyle w:val="FirstParagraph"/>
      </w:pPr>
      <w:r>
        <w:t xml:space="preserve">The Education Administrator has been committed to improving student outcomes and promoting holistic well-being. Data from standardized assessments and internal evaluations show positive trends in academic achievement, particularly in literacy and numeracy. The administrator has also prioritized social-emotional learning and mental health support, recognizing the importance of a nurturing environment for student success.</w:t>
      </w:r>
    </w:p>
    <w:p>
      <w:pPr>
        <w:pStyle w:val="BodyText"/>
      </w:pPr>
      <w:r>
        <w:t xml:space="preserve">Highlights include:</w:t>
      </w:r>
    </w:p>
    <w:p>
      <w:pPr>
        <w:numPr>
          <w:ilvl w:val="0"/>
          <w:numId w:val="1004"/>
        </w:numPr>
        <w:pStyle w:val="Compact"/>
      </w:pPr>
      <w:r>
        <w:t xml:space="preserve">Implementing a comprehensive student support system that includes counseling services, tutoring programs, and extracurricular activities.</w:t>
      </w:r>
    </w:p>
    <w:p>
      <w:pPr>
        <w:numPr>
          <w:ilvl w:val="0"/>
          <w:numId w:val="1004"/>
        </w:numPr>
        <w:pStyle w:val="Compact"/>
      </w:pPr>
      <w:r>
        <w:t xml:space="preserve">Engaging parents and community members in student success initiatives through regular communication and collaborative events.</w:t>
      </w:r>
    </w:p>
    <w:p>
      <w:pPr>
        <w:numPr>
          <w:ilvl w:val="0"/>
          <w:numId w:val="1004"/>
        </w:numPr>
        <w:pStyle w:val="Compact"/>
      </w:pPr>
      <w:r>
        <w:t xml:space="preserve">Promoting inclusivity and accessibility for students with diverse learning needs.</w:t>
      </w:r>
    </w:p>
    <w:p>
      <w:pPr>
        <w:pStyle w:val="FirstParagraph"/>
      </w:pPr>
      <w:r>
        <w:t xml:space="preserve">While progress is evident, the review recommends further efforts to address achievement gaps among different student groups and to enhance data-driven decision-making in support of student outcomes.</w:t>
      </w:r>
    </w:p>
    <w:bookmarkEnd w:id="25"/>
    <w:bookmarkStart w:id="26" w:name="X79b2687dc6505248788b31e2e52bc19bd491334"/>
    <w:p>
      <w:pPr>
        <w:pStyle w:val="Heading2"/>
      </w:pPr>
      <w:r>
        <w:t xml:space="preserve">6. Community Engagement and Stakeholder Relations</w:t>
      </w:r>
    </w:p>
    <w:p>
      <w:pPr>
        <w:pStyle w:val="FirstParagraph"/>
      </w:pPr>
      <w:r>
        <w:t xml:space="preserve">In Jeddah, where community involvement is highly valued, the Education Administrator has successfully built strong relationships with parents, local businesses, and government entities. These partnerships have facilitated resource sharing, internship opportunities for students, and community-based learning projects.</w:t>
      </w:r>
    </w:p>
    <w:p>
      <w:pPr>
        <w:pStyle w:val="BodyText"/>
      </w:pPr>
      <w:r>
        <w:t xml:space="preserve">Key achievements include:</w:t>
      </w:r>
    </w:p>
    <w:p>
      <w:pPr>
        <w:numPr>
          <w:ilvl w:val="0"/>
          <w:numId w:val="1005"/>
        </w:numPr>
        <w:pStyle w:val="Compact"/>
      </w:pPr>
      <w:r>
        <w:t xml:space="preserve">Establishing a parent advisory council that provides input on school policies and programs.</w:t>
      </w:r>
    </w:p>
    <w:p>
      <w:pPr>
        <w:numPr>
          <w:ilvl w:val="0"/>
          <w:numId w:val="1005"/>
        </w:numPr>
        <w:pStyle w:val="Compact"/>
      </w:pPr>
      <w:r>
        <w:t xml:space="preserve">Organizing community outreach events that promote educational awareness and support.</w:t>
      </w:r>
    </w:p>
    <w:p>
      <w:pPr>
        <w:numPr>
          <w:ilvl w:val="0"/>
          <w:numId w:val="1005"/>
        </w:numPr>
        <w:pStyle w:val="Compact"/>
      </w:pPr>
      <w:r>
        <w:t xml:space="preserve">Collaborating with local authorities to ensure compliance with national regulations and standards.</w:t>
      </w:r>
    </w:p>
    <w:p>
      <w:pPr>
        <w:pStyle w:val="FirstParagraph"/>
      </w:pPr>
      <w:r>
        <w:t xml:space="preserve">The administrator’s proactive approach to stakeholder engagement has strengthened the institution’s reputation and fostered a sense of shared responsibility for educational success.</w:t>
      </w:r>
    </w:p>
    <w:bookmarkEnd w:id="26"/>
    <w:bookmarkStart w:id="27"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to further enhance the effectiveness of the Education Administrator:</w:t>
      </w:r>
    </w:p>
    <w:p>
      <w:pPr>
        <w:numPr>
          <w:ilvl w:val="0"/>
          <w:numId w:val="1006"/>
        </w:numPr>
        <w:pStyle w:val="Compact"/>
      </w:pPr>
      <w:r>
        <w:t xml:space="preserve">Strengthen data collection and analysis systems to inform strategic decision-making and monitor progress more effectively.</w:t>
      </w:r>
    </w:p>
    <w:p>
      <w:pPr>
        <w:numPr>
          <w:ilvl w:val="0"/>
          <w:numId w:val="1006"/>
        </w:numPr>
        <w:pStyle w:val="Compact"/>
      </w:pPr>
      <w:r>
        <w:t xml:space="preserve">Expand leadership development opportunities for emerging leaders within the organization.</w:t>
      </w:r>
    </w:p>
    <w:p>
      <w:pPr>
        <w:numPr>
          <w:ilvl w:val="0"/>
          <w:numId w:val="1006"/>
        </w:numPr>
        <w:pStyle w:val="Compact"/>
      </w:pPr>
      <w:r>
        <w:t xml:space="preserve">Enhance the integration of local cultural and linguistic elements into the curriculum to better reflect the Jeddah context.</w:t>
      </w:r>
    </w:p>
    <w:p>
      <w:pPr>
        <w:numPr>
          <w:ilvl w:val="0"/>
          <w:numId w:val="1006"/>
        </w:numPr>
        <w:pStyle w:val="Compact"/>
      </w:pPr>
      <w:r>
        <w:t xml:space="preserve">Increase focus on personalized professional development for teachers to address individual growth needs.</w:t>
      </w:r>
    </w:p>
    <w:p>
      <w:pPr>
        <w:numPr>
          <w:ilvl w:val="0"/>
          <w:numId w:val="1006"/>
        </w:numPr>
        <w:pStyle w:val="Compact"/>
      </w:pPr>
      <w:r>
        <w:t xml:space="preserve">Develop more targeted interventions to support underperforming student groups and reduce achievement gaps.</w:t>
      </w:r>
    </w:p>
    <w:bookmarkEnd w:id="27"/>
    <w:bookmarkStart w:id="28" w:name="conclusion"/>
    <w:p>
      <w:pPr>
        <w:pStyle w:val="Heading2"/>
      </w:pPr>
      <w:r>
        <w:t xml:space="preserve">8. Conclusion</w:t>
      </w:r>
    </w:p>
    <w:p>
      <w:pPr>
        <w:pStyle w:val="FirstParagraph"/>
      </w:pPr>
      <w:r>
        <w:t xml:space="preserve">In conclusion, the Education Administrator has demonstrated strong leadership, commitment to educational excellence, and a deep understanding of the unique context of Jeddah, Saudi Arabia. The contributions made during this review period have had a positive impact on students, staff, and the broader community. By addressing the areas for improvement identified in this report, the administrator is well-positioned to continue driving meaningful progress in alignment with Saudi Vision 2030 and the institution’s mission.</w:t>
      </w:r>
    </w:p>
    <w:bookmarkEnd w:id="28"/>
    <w:p>
      <w:pPr>
        <w:pStyle w:val="BodyText"/>
      </w:pPr>
      <w:r>
        <w:rPr>
          <w:bCs/>
          <w:b/>
        </w:rPr>
        <w:t xml:space="preserve">Prepared by:</w:t>
      </w:r>
      <w:r>
        <w:t xml:space="preserve"> </w:t>
      </w:r>
      <w:r>
        <w:t xml:space="preserve">[Peer Review Committee]</w:t>
      </w:r>
    </w:p>
    <w:p>
      <w:pPr>
        <w:pStyle w:val="BodyText"/>
      </w:pPr>
      <w:r>
        <w:rPr>
          <w:bCs/>
          <w:b/>
        </w:rPr>
        <w:t xml:space="preserve">Approved by:</w:t>
      </w:r>
      <w:r>
        <w:t xml:space="preserve"> </w:t>
      </w:r>
      <w:r>
        <w:t xml:space="preserve">[Senior Leadership]</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2026-10-10T08:50:42Z</dcterms:created>
  <dcterms:modified xsi:type="dcterms:W3CDTF">2026-10-10T08:50:42Z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