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[Education Administrator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and administrative capabilities of an Education Administrator operating within the dynamic educational landscape of Singapore Singapore. The purpose of this review is to provide constructive feedback, identify areas of excellence, and recommend strategies for further professional development. As Singapore Singapore continues to prioritize educational excellence, innovation, and inclusivity, the role of an Education Administrator is critical in ensuring that institutions align with national goals while fostering an environment conducive to learning and growth.</w:t>
      </w:r>
    </w:p>
    <w:bookmarkEnd w:id="21"/>
    <w:bookmarkStart w:id="22" w:name="overview-of-responsibilities"/>
    <w:p>
      <w:pPr>
        <w:pStyle w:val="Heading2"/>
      </w:pPr>
      <w:r>
        <w:t xml:space="preserve">Overview of Responsibilities</w:t>
      </w:r>
    </w:p>
    <w:p>
      <w:pPr>
        <w:pStyle w:val="FirstParagraph"/>
      </w:pPr>
      <w:r>
        <w:t xml:space="preserve">The Education Administrator under review is responsible for overseeing the operational, academic, and strategic functions of an educational institution in Singapore Singapore. Key responsibilities include managing staff, implementing policies aligned with the Ministry of Education’s guidelines, ensuring compliance with regulatory standards, and promoting a culture of continuous improvement. Additionally, the Education Administrator plays a pivotal role in fostering collaboration among stakeholders, including teachers, parents, students, and government agencies, to achieve shared educational objectives.</w:t>
      </w:r>
    </w:p>
    <w:bookmarkEnd w:id="22"/>
    <w:bookmarkStart w:id="26" w:name="strengths"/>
    <w:p>
      <w:pPr>
        <w:pStyle w:val="Heading2"/>
      </w:pPr>
      <w:r>
        <w:t xml:space="preserve">Strengths</w:t>
      </w:r>
    </w:p>
    <w:bookmarkStart w:id="23" w:name="strategic-leadership"/>
    <w:p>
      <w:pPr>
        <w:pStyle w:val="Heading3"/>
      </w:pPr>
      <w:r>
        <w:t xml:space="preserve">1. Strategic Leadership</w:t>
      </w:r>
    </w:p>
    <w:p>
      <w:pPr>
        <w:pStyle w:val="FirstParagraph"/>
      </w:pPr>
      <w:r>
        <w:t xml:space="preserve">One of the standout strengths of the Education Administrator is their ability to provide clear and forward-thinking leadership. They have demonstrated a deep understanding of the educational priorities in Singapore Singapore, such as enhancing digital literacy, promoting holistic education, and addressing the needs of diverse student populations. Their strategic initiatives have successfully aligned institutional goals with national frameworks, ensuring that the institution remains competitive and relevant.</w:t>
      </w:r>
    </w:p>
    <w:bookmarkEnd w:id="23"/>
    <w:bookmarkStart w:id="24" w:name="effective-communication"/>
    <w:p>
      <w:pPr>
        <w:pStyle w:val="Heading3"/>
      </w:pPr>
      <w:r>
        <w:t xml:space="preserve">2. Effective Communication</w:t>
      </w:r>
    </w:p>
    <w:p>
      <w:pPr>
        <w:pStyle w:val="FirstParagraph"/>
      </w:pPr>
      <w:r>
        <w:t xml:space="preserve">The Education Administrator excels in communication, both within the institution and with external stakeholders. They have established open channels for dialogue, encouraging feedback from teachers, parents, and students. This approach has fostered a sense of trust and collaboration, which is essential for addressing challenges and implementing changes effectively.</w:t>
      </w:r>
    </w:p>
    <w:bookmarkEnd w:id="24"/>
    <w:bookmarkStart w:id="25" w:name="commitment-to-professional-development"/>
    <w:p>
      <w:pPr>
        <w:pStyle w:val="Heading3"/>
      </w:pPr>
      <w:r>
        <w:t xml:space="preserve">3. Commitment to Professional Development</w:t>
      </w:r>
    </w:p>
    <w:p>
      <w:pPr>
        <w:pStyle w:val="FirstParagraph"/>
      </w:pPr>
      <w:r>
        <w:t xml:space="preserve">The Education Administrator has shown a strong commitment to supporting the professional growth of staff members. By organizing workshops, training sessions, and mentorship programs, they have empowered educators to enhance their skills and adapt to evolving educational trends. This focus on professional development has positively impacted teaching quality and student outcomes.</w:t>
      </w:r>
    </w:p>
    <w:bookmarkEnd w:id="25"/>
    <w:bookmarkEnd w:id="26"/>
    <w:bookmarkStart w:id="30" w:name="areas-for-improvement"/>
    <w:p>
      <w:pPr>
        <w:pStyle w:val="Heading2"/>
      </w:pPr>
      <w:r>
        <w:t xml:space="preserve">Areas for Improvement</w:t>
      </w:r>
    </w:p>
    <w:bookmarkStart w:id="27" w:name="resource-allocation"/>
    <w:p>
      <w:pPr>
        <w:pStyle w:val="Heading3"/>
      </w:pPr>
      <w:r>
        <w:t xml:space="preserve">1. Resource Allocation</w:t>
      </w:r>
    </w:p>
    <w:p>
      <w:pPr>
        <w:pStyle w:val="FirstParagraph"/>
      </w:pPr>
      <w:r>
        <w:t xml:space="preserve">While the Education Administrator has demonstrated strong leadership, there is room for improvement in optimizing resource allocation. In some instances, the distribution of funds and materials has not fully addressed the needs of all departments. A more data-driven approach to resource management could ensure that resources are allocated equitably and efficiently.</w:t>
      </w:r>
    </w:p>
    <w:bookmarkEnd w:id="27"/>
    <w:bookmarkStart w:id="28" w:name="innovation-in-curriculum-design"/>
    <w:p>
      <w:pPr>
        <w:pStyle w:val="Heading3"/>
      </w:pPr>
      <w:r>
        <w:t xml:space="preserve">2. Innovation in Curriculum Design</w:t>
      </w:r>
    </w:p>
    <w:p>
      <w:pPr>
        <w:pStyle w:val="FirstParagraph"/>
      </w:pPr>
      <w:r>
        <w:t xml:space="preserve">Although the institution adheres to national curriculum standards, there is an opportunity for the Education Administrator to encourage greater innovation in curriculum design. Incorporating emerging technologies, interdisciplinary approaches, and real-world problem-solving activities could better prepare students for the challenges of the 21st century.</w:t>
      </w:r>
    </w:p>
    <w:bookmarkEnd w:id="28"/>
    <w:bookmarkStart w:id="29" w:name="stakeholder-engagement"/>
    <w:p>
      <w:pPr>
        <w:pStyle w:val="Heading3"/>
      </w:pPr>
      <w:r>
        <w:t xml:space="preserve">3. Stakeholder Engagement</w:t>
      </w:r>
    </w:p>
    <w:p>
      <w:pPr>
        <w:pStyle w:val="FirstParagraph"/>
      </w:pPr>
      <w:r>
        <w:t xml:space="preserve">While communication with stakeholders is generally effective, there is potential to deepen engagement with parents and community organizations. Regular town hall meetings, surveys, and collaborative projects could strengthen partnerships and ensure that the institution remains responsive to community needs.</w:t>
      </w:r>
    </w:p>
    <w:bookmarkEnd w:id="29"/>
    <w:bookmarkEnd w:id="30"/>
    <w:bookmarkStart w:id="31" w:name="recommendations"/>
    <w:p>
      <w:pPr>
        <w:pStyle w:val="Heading2"/>
      </w:pPr>
      <w:r>
        <w:t xml:space="preserve">Recommendations</w:t>
      </w:r>
    </w:p>
    <w:p>
      <w:pPr>
        <w:pStyle w:val="FirstParagraph"/>
      </w:pPr>
      <w:r>
        <w:t xml:space="preserve">Based on the findings of this Peer Review Report, the following recommendations are proposed to support the continued growth and success of the Education Administrator:</w:t>
      </w:r>
    </w:p>
    <w:p>
      <w:pPr>
        <w:numPr>
          <w:ilvl w:val="0"/>
          <w:numId w:val="1001"/>
        </w:numPr>
        <w:pStyle w:val="Compact"/>
      </w:pPr>
      <w:r>
        <w:t xml:space="preserve">Implement a comprehensive resource management system to enhance transparency and efficiency in allocation.</w:t>
      </w:r>
    </w:p>
    <w:p>
      <w:pPr>
        <w:numPr>
          <w:ilvl w:val="0"/>
          <w:numId w:val="1001"/>
        </w:numPr>
        <w:pStyle w:val="Compact"/>
      </w:pPr>
      <w:r>
        <w:t xml:space="preserve">Encourage faculty members to experiment with innovative teaching methods and integrate technology into the curriculum.</w:t>
      </w:r>
    </w:p>
    <w:p>
      <w:pPr>
        <w:numPr>
          <w:ilvl w:val="0"/>
          <w:numId w:val="1001"/>
        </w:numPr>
        <w:pStyle w:val="Compact"/>
      </w:pPr>
      <w:r>
        <w:t xml:space="preserve">Establish a formalized framework for stakeholder engagement, including regular feedback mechanisms and collaborative initiatives.</w:t>
      </w:r>
    </w:p>
    <w:p>
      <w:pPr>
        <w:numPr>
          <w:ilvl w:val="0"/>
          <w:numId w:val="1001"/>
        </w:numPr>
        <w:pStyle w:val="Compact"/>
      </w:pPr>
      <w:r>
        <w:t xml:space="preserve">Pursue advanced leadership training programs to further develop skills in strategic planning and change management.</w:t>
      </w:r>
    </w:p>
    <w:bookmarkEnd w:id="31"/>
    <w:bookmarkStart w:id="32" w:name="conclusion"/>
    <w:p>
      <w:pPr>
        <w:pStyle w:val="Heading2"/>
      </w:pPr>
      <w:r>
        <w:t xml:space="preserve">Conclusion</w:t>
      </w:r>
    </w:p>
    <w:p>
      <w:pPr>
        <w:pStyle w:val="FirstParagraph"/>
      </w:pPr>
      <w:r>
        <w:t xml:space="preserve">In conclusion, the Education Administrator has demonstrated a high level of competence and dedication in their role within Singapore Singapore. Their strengths in strategic leadership, communication, and professional development have contributed significantly to the institution’s success. However, addressing the identified areas for improvement will further enhance their effectiveness and ensure that the institution continues to meet the evolving needs of its students and community. This Peer Review Report serves as a valuable tool for guiding future efforts and achieving excellence in education administration.</w:t>
      </w:r>
    </w:p>
    <w:bookmarkEnd w:id="32"/>
    <w:p>
      <w:pPr>
        <w:pStyle w:val="BodyText"/>
      </w:pPr>
      <w:r>
        <w:rPr>
          <w:bCs/>
          <w:b/>
        </w:rPr>
        <w:t xml:space="preserve">Reviewer’s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2026-10-10T02:03:01Z</dcterms:created>
  <dcterms:modified xsi:type="dcterms:W3CDTF">2026-10-10T02:03:01Z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