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Education Administrator</w:t>
      </w:r>
    </w:p>
    <w:p>
      <w:pPr>
        <w:pStyle w:val="BodyText"/>
      </w:pPr>
      <w:r>
        <w:rPr>
          <w:bCs/>
          <w:b/>
        </w:rPr>
        <w:t xml:space="preserve">Location:</w:t>
      </w:r>
      <w:r>
        <w:t xml:space="preserve"> </w:t>
      </w:r>
      <w:r>
        <w:t xml:space="preserve">Sudan, Khartoum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leadership capabilities, and administrative efficacy of the Education Administrator based in Khartoum, Sudan. The review was conducted by a panel of senior educational stakeholders and administrative peers to assess alignment with national educational goals and local operational requirements. The subject has demonstrated a commendable commitment to maintaining educational standards amidst the complex socio-political landscape of Sudan. This document outlines specific observations regarding curriculum implementation, staff management, resource allocation, and community engagement within the Khartoum region.</w:t>
      </w:r>
    </w:p>
    <w:bookmarkEnd w:id="21"/>
    <w:bookmarkStart w:id="22" w:name="X3f1fe4b1376b4d0b8683fc0ddc9c977c08c6fe1"/>
    <w:p>
      <w:pPr>
        <w:pStyle w:val="Heading2"/>
      </w:pPr>
      <w:r>
        <w:t xml:space="preserve">2. Contextual Analysis: The Khartoum Environment</w:t>
      </w:r>
    </w:p>
    <w:p>
      <w:pPr>
        <w:pStyle w:val="FirstParagraph"/>
      </w:pPr>
      <w:r>
        <w:t xml:space="preserve">Operating as an Education Administrator in Khartoum requires a unique blend of pedagogical knowledge and crisis management skills. The current environment in Sudan presents significant challenges, including infrastructural limitations, fluctuating resource availability, and the urgent need for educational continuity. The subject of this review has been tasked with overseeing multiple educational institutions within the Khartoum state. The peer review panel acknowledges that the administrator has navigated these challenges with resilience, ensuring that schools remain open and functional where possible. The ability to adapt administrative protocols to the specific realities of Khartoum—such as managing power outages or adjusting schedules due to security concerns—has been a critical factor in this assessment.</w:t>
      </w:r>
    </w:p>
    <w:bookmarkEnd w:id="22"/>
    <w:bookmarkStart w:id="23" w:name="administrative-leadership-and-governance"/>
    <w:p>
      <w:pPr>
        <w:pStyle w:val="Heading2"/>
      </w:pPr>
      <w:r>
        <w:t xml:space="preserve">3. Administrative Leadership and Governance</w:t>
      </w:r>
    </w:p>
    <w:p>
      <w:pPr>
        <w:pStyle w:val="FirstParagraph"/>
      </w:pPr>
      <w:r>
        <w:t xml:space="preserve">The Education Administrator has exhibited strong governance skills, particularly in policy implementation. The peer review highlights the effective translation of national educational directives into actionable local strategies. In Khartoum, where bureaucratic processes can be slow, the administrator has streamlined communication channels between the Ministry of Education and individual school principals.</w:t>
      </w:r>
    </w:p>
    <w:p>
      <w:pPr>
        <w:pStyle w:val="BodyText"/>
      </w:pPr>
      <w:r>
        <w:t xml:space="preserve">Furthermore, the administrator has maintained strict adherence to regulatory compliance while fostering a culture of transparency. Financial reporting and resource distribution have been handled with integrity, a vital aspect given the scrutiny surrounding public funds in the region. The peer panel notes that the administrator’s decision-making process is data-driven, relying on attendance records, examination results, and teacher feedback to guide strategic planning.</w:t>
      </w:r>
    </w:p>
    <w:bookmarkEnd w:id="23"/>
    <w:bookmarkStart w:id="24" w:name="staff-development-and-human-resources"/>
    <w:p>
      <w:pPr>
        <w:pStyle w:val="Heading2"/>
      </w:pPr>
      <w:r>
        <w:t xml:space="preserve">4. Staff Development and Human Resources</w:t>
      </w:r>
    </w:p>
    <w:p>
      <w:pPr>
        <w:pStyle w:val="FirstParagraph"/>
      </w:pPr>
      <w:r>
        <w:t xml:space="preserve">A core responsibility of the Education Administrator is the support and development of teaching staff. In the context of Sudan, where teacher retention can be challenging due to economic factors, the administrator has implemented supportive measures to boost morale. The peer review commends the introduction of localized professional development workshops in Khartoum, focusing on modern teaching methodologies and classroom management.</w:t>
      </w:r>
    </w:p>
    <w:p>
      <w:pPr>
        <w:pStyle w:val="BodyText"/>
      </w:pPr>
      <w:r>
        <w:t xml:space="preserve">The administrator has also been proactive in conflict resolution among staff members, ensuring a harmonious working environment. By fostering a collaborative culture, the administrator has reduced staff turnover rates in the assigned districts. The peer panel observed that teachers feel heard and valued, which directly correlates with improved student engagement and academic performance.</w:t>
      </w:r>
    </w:p>
    <w:bookmarkEnd w:id="24"/>
    <w:bookmarkStart w:id="25" w:name="X775e9658f730f56e47363bf6689582919775169"/>
    <w:p>
      <w:pPr>
        <w:pStyle w:val="Heading2"/>
      </w:pPr>
      <w:r>
        <w:t xml:space="preserve">5. Curriculum Implementation and Academic Standards</w:t>
      </w:r>
    </w:p>
    <w:p>
      <w:pPr>
        <w:pStyle w:val="FirstParagraph"/>
      </w:pPr>
      <w:r>
        <w:t xml:space="preserve">The review assessed the administrator’s role in ensuring the fidelity of the national curriculum. Despite external disruptions, the Education Administrator has ensured that academic standards in Khartoum schools remain robust. There is a notable emphasis on literacy and numeracy, which are foundational priorities for the Sudanese education system.</w:t>
      </w:r>
    </w:p>
    <w:p>
      <w:pPr>
        <w:pStyle w:val="BodyText"/>
      </w:pPr>
      <w:r>
        <w:t xml:space="preserve">The administrator has successfully coordinated standardized testing schedules and ensured that examination materials were distributed securely and on time. Additionally, efforts to integrate technology into the classroom, even with limited infrastructure, have been noted. The administrator has explored low-cost digital solutions to supplement traditional learning, demonstrating innovation in the face of resource constraints.</w:t>
      </w:r>
    </w:p>
    <w:bookmarkEnd w:id="25"/>
    <w:bookmarkStart w:id="26" w:name="X79b2687dc6505248788b31e2e52bc19bd491334"/>
    <w:p>
      <w:pPr>
        <w:pStyle w:val="Heading2"/>
      </w:pPr>
      <w:r>
        <w:t xml:space="preserve">6. Community Engagement and Stakeholder Relations</w:t>
      </w:r>
    </w:p>
    <w:p>
      <w:pPr>
        <w:pStyle w:val="FirstParagraph"/>
      </w:pPr>
      <w:r>
        <w:t xml:space="preserve">Education in Sudan is deeply intertwined with community dynamics. The Education Administrator has excelled in building bridges between schools and local communities in Khartoum. Regular town hall meetings and parent-teacher associations have been revitalized under this administrator’s guidance. This engagement is crucial for addressing concerns related to school safety, fees, and educational quality.</w:t>
      </w:r>
    </w:p>
    <w:p>
      <w:pPr>
        <w:pStyle w:val="BodyText"/>
      </w:pPr>
      <w:r>
        <w:t xml:space="preserve">The administrator has also collaborated with local NGOs and international aid organizations operating in Khartoum to secure additional resources for schools. These partnerships have provided essential learning materials and support for vulnerable students, showcasing the administrator’s ability to leverage external networks for the benefit of the local education sector.</w:t>
      </w:r>
    </w:p>
    <w:bookmarkEnd w:id="26"/>
    <w:bookmarkStart w:id="27" w:name="areas-for-improvement"/>
    <w:p>
      <w:pPr>
        <w:pStyle w:val="Heading2"/>
      </w:pPr>
      <w:r>
        <w:t xml:space="preserve">7. Areas for Improvement</w:t>
      </w:r>
    </w:p>
    <w:p>
      <w:pPr>
        <w:pStyle w:val="FirstParagraph"/>
      </w:pPr>
      <w:r>
        <w:t xml:space="preserve">While the performance of the Education Administrator is largely positive, the peer review identifies areas for growth. First, there is a need for more robust data collection systems to track long-term student outcomes. Currently, data is often fragmented across different schools in Khartoum. Second, the administrator should focus on enhancing emergency preparedness plans for schools, ensuring that educational continuity strategies are more formalized in the event of severe disruptions. Finally, increasing the inclusion of special needs education within the mainstream system remains a priority that requires more dedicated administrative attention.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Education Administrator in Khartoum, Sudan, is performing at a high level of professionalism and dedication. The administrator has successfully balanced the demands of regulatory compliance with the practical needs of schools in a challenging environment. The peer panel recommends the continuation of current leadership strategies, with a specific focus on strengthening data infrastructure and emergency planning. The administrator’s work is vital to the future of education in Sudan, and their efforts in Khartoum serve as a model for resilience and effective governance.</w:t>
      </w:r>
    </w:p>
    <w:bookmarkEnd w:id="28"/>
    <w:p>
      <w:pPr>
        <w:pStyle w:val="BodyText"/>
      </w:pPr>
      <w:r>
        <w:rPr>
          <w:bCs/>
          <w:b/>
        </w:rPr>
        <w:t xml:space="preserve">Prepared by:</w:t>
      </w:r>
    </w:p>
    <w:p>
      <w:pPr>
        <w:pStyle w:val="BodyText"/>
      </w:pPr>
      <w:r>
        <w:t xml:space="preserve">Dr. Ahmed El-Tayeb</w:t>
      </w:r>
    </w:p>
    <w:p>
      <w:pPr>
        <w:pStyle w:val="BodyText"/>
      </w:pPr>
      <w:r>
        <w:t xml:space="preserve">Senior Peer Reviewer, Educational Standards Board</w:t>
      </w:r>
    </w:p>
    <w:p>
      <w:pPr>
        <w:pStyle w:val="BodyText"/>
      </w:pPr>
      <w:r>
        <w:t xml:space="preserve">Khartoum, Sudan</w:t>
      </w:r>
    </w:p>
    <w:p>
      <w:pPr>
        <w:pStyle w:val="BodyText"/>
      </w:pPr>
      <w:r>
        <w:br/>
      </w:r>
    </w:p>
    <w:p>
      <w:pPr>
        <w:pStyle w:val="BodyText"/>
      </w:pPr>
      <w:r>
        <w:rPr>
          <w:bCs/>
          <w:b/>
        </w:rPr>
        <w:t xml:space="preserve">Approved by:</w:t>
      </w:r>
    </w:p>
    <w:p>
      <w:pPr>
        <w:pStyle w:val="BodyText"/>
      </w:pPr>
      <w:r>
        <w:t xml:space="preserve">Ministry of Education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Sudan Khartoum</dc:title>
  <dc:creator/>
  <dc:language>en</dc:language>
  <cp:keywords/>
  <dcterms:created xsi:type="dcterms:W3CDTF">2026-10-10T05:09:27Z</dcterms:created>
  <dcterms:modified xsi:type="dcterms:W3CDTF">2026-10-10T05:09:27Z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