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Istanbul, Turkey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performance, leadership capabilities, and administrative efficacy of the Education Administrator serving within the educational framework of Istanbul, Turkey. Istanbul, as a global metropolis and a cultural bridge between Europe and Asia, presents unique challenges and opportunities for educational leadership. The review focuses on the administrator's ability to navigate the complex regulatory environment of the Turkish Ministry of National Education (MEB), manage diverse student populations, and implement modern pedagogical strategies within the specific socio-economic context of Istanbul.</w:t>
      </w:r>
    </w:p>
    <w:p>
      <w:pPr>
        <w:pStyle w:val="BodyText"/>
      </w:pPr>
      <w:r>
        <w:t xml:space="preserve">The evaluation process involved classroom observations, stakeholder interviews with teachers and parents, analysis of institutional data, and a review of strategic planning documents. The findings indicate a high level of competence in operational management, with specific recommendations for enhancing community engagement and digital transformation initiatives.</w:t>
      </w:r>
    </w:p>
    <w:bookmarkEnd w:id="21"/>
    <w:bookmarkStart w:id="22" w:name="contextual-background"/>
    <w:p>
      <w:pPr>
        <w:pStyle w:val="Heading2"/>
      </w:pPr>
      <w:r>
        <w:t xml:space="preserve">2. Contextual Background</w:t>
      </w:r>
    </w:p>
    <w:p>
      <w:pPr>
        <w:pStyle w:val="FirstParagraph"/>
      </w:pPr>
      <w:r>
        <w:t xml:space="preserve">The role of an Education Administrator in Istanbul is multifaceted. The city hosts a vast array of educational institutions, ranging from public schools to international academies. The administrator under review operates in a district characterized by high population density and significant demographic diversity. Success in this role requires not only adherence to national curriculum standards but also the agility to address local needs, including support for migrant students and the integration of technology in learning environments.</w:t>
      </w:r>
    </w:p>
    <w:p>
      <w:pPr>
        <w:pStyle w:val="BodyText"/>
      </w:pPr>
      <w:r>
        <w:t xml:space="preserve">This review specifically examines how the administrator aligns institutional goals with the broader educational objectives of Turkey, while maintaining the distinct identity and quality standards expected in Istanbul's competitive educational landscape.</w:t>
      </w:r>
    </w:p>
    <w:bookmarkEnd w:id="22"/>
    <w:bookmarkStart w:id="28" w:name="evaluation-criteria-and-findings"/>
    <w:p>
      <w:pPr>
        <w:pStyle w:val="Heading2"/>
      </w:pPr>
      <w:r>
        <w:t xml:space="preserve">3. Evaluation Criteria and Findings</w:t>
      </w:r>
    </w:p>
    <w:bookmarkStart w:id="23" w:name="strategic-leadership-and-vision"/>
    <w:p>
      <w:pPr>
        <w:pStyle w:val="Heading3"/>
      </w:pPr>
      <w:r>
        <w:t xml:space="preserve">3.1 Strategic Leadership and Vision</w:t>
      </w:r>
    </w:p>
    <w:p>
      <w:pPr>
        <w:pStyle w:val="FirstParagraph"/>
      </w:pPr>
      <w:r>
        <w:t xml:space="preserve">The Education Administrator has demonstrated a clear vision for the institution, focusing on academic excellence and holistic student development. The strategic plan developed for the current academic year reflects a deep understanding of the Istanbul educational market. The administrator has successfully prioritized STEM education and language proficiency, areas of high demand in the region. However, the review suggests that the long-term vision could be more explicitly communicated to all staff members to ensure unified execution.</w:t>
      </w:r>
    </w:p>
    <w:bookmarkEnd w:id="23"/>
    <w:bookmarkStart w:id="24" w:name="operational-management-and-compliance"/>
    <w:p>
      <w:pPr>
        <w:pStyle w:val="Heading3"/>
      </w:pPr>
      <w:r>
        <w:t xml:space="preserve">3.2 Operational Management and Compliance</w:t>
      </w:r>
    </w:p>
    <w:p>
      <w:pPr>
        <w:pStyle w:val="FirstParagraph"/>
      </w:pPr>
      <w:r>
        <w:t xml:space="preserve">Operational efficiency is a strong suit of the administrator. The school's compliance with Turkish Ministry of National Education regulations is exemplary. Financial management, resource allocation, and facility maintenance are handled with professionalism. The administrator has effectively managed the logistical challenges inherent to Istanbul, such as transportation coordination and safety protocols, ensuring a secure environment for students and staff.</w:t>
      </w:r>
    </w:p>
    <w:bookmarkEnd w:id="24"/>
    <w:bookmarkStart w:id="25" w:name="staff-development-and-human-resources"/>
    <w:p>
      <w:pPr>
        <w:pStyle w:val="Heading3"/>
      </w:pPr>
      <w:r>
        <w:t xml:space="preserve">3.3 Staff Development and Human Resources</w:t>
      </w:r>
    </w:p>
    <w:p>
      <w:pPr>
        <w:pStyle w:val="FirstParagraph"/>
      </w:pPr>
      <w:r>
        <w:t xml:space="preserve">The review highlights the administrator's commitment to professional development. Regular workshops and training sessions have been organized to upskill teachers in modern pedagogical methods. The administrator fosters a collaborative culture, encouraging peer observation and feedback. Nevertheless, there is an opportunity to implement more structured mentorship programs for new hires, particularly those adapting to the specific cultural nuances of teaching in Istanbul.</w:t>
      </w:r>
    </w:p>
    <w:bookmarkEnd w:id="25"/>
    <w:bookmarkStart w:id="26" w:name="student-outcomes-and-well-being"/>
    <w:p>
      <w:pPr>
        <w:pStyle w:val="Heading3"/>
      </w:pPr>
      <w:r>
        <w:t xml:space="preserve">3.4 Student Outcomes and Well-being</w:t>
      </w:r>
    </w:p>
    <w:p>
      <w:pPr>
        <w:pStyle w:val="FirstParagraph"/>
      </w:pPr>
      <w:r>
        <w:t xml:space="preserve">Academic performance data shows a positive trend, with improvements in standardized test scores. The administrator has implemented robust support systems for students with special educational needs, aligning with national inclusion policies. Student well-being initiatives, including counseling services and extracurricular activities, are well-regarded by parents. The administrator's focus on character education resonates well with the cultural values of the local community.</w:t>
      </w:r>
    </w:p>
    <w:bookmarkEnd w:id="26"/>
    <w:bookmarkStart w:id="27" w:name="X79b2687dc6505248788b31e2e52bc19bd491334"/>
    <w:p>
      <w:pPr>
        <w:pStyle w:val="Heading3"/>
      </w:pPr>
      <w:r>
        <w:t xml:space="preserve">3.5 Community Engagement and Stakeholder Relations</w:t>
      </w:r>
    </w:p>
    <w:p>
      <w:pPr>
        <w:pStyle w:val="FirstParagraph"/>
      </w:pPr>
      <w:r>
        <w:t xml:space="preserve">Building strong relationships with parents and the local community is crucial in Istanbul. The administrator has maintained open lines of communication through regular meetings and digital platforms. However, the review identifies a need for more proactive engagement with local businesses and cultural institutions to create broader opportunities for students, such as internships and cultural exchanges.</w:t>
      </w:r>
    </w:p>
    <w:bookmarkEnd w:id="27"/>
    <w:bookmarkEnd w:id="28"/>
    <w:bookmarkStart w:id="29" w:name="strengths"/>
    <w:p>
      <w:pPr>
        <w:pStyle w:val="Heading2"/>
      </w:pPr>
      <w:r>
        <w:t xml:space="preserve">4. Strengths</w:t>
      </w:r>
    </w:p>
    <w:p>
      <w:pPr>
        <w:numPr>
          <w:ilvl w:val="0"/>
          <w:numId w:val="1001"/>
        </w:numPr>
        <w:pStyle w:val="Compact"/>
      </w:pPr>
      <w:r>
        <w:t xml:space="preserve">Strong adherence to regulatory frameworks and compliance standards in Turkey.</w:t>
      </w:r>
    </w:p>
    <w:p>
      <w:pPr>
        <w:numPr>
          <w:ilvl w:val="0"/>
          <w:numId w:val="1001"/>
        </w:numPr>
        <w:pStyle w:val="Compact"/>
      </w:pPr>
      <w:r>
        <w:t xml:space="preserve">Effective operational management and resource optimization.</w:t>
      </w:r>
    </w:p>
    <w:p>
      <w:pPr>
        <w:numPr>
          <w:ilvl w:val="0"/>
          <w:numId w:val="1001"/>
        </w:numPr>
        <w:pStyle w:val="Compact"/>
      </w:pPr>
      <w:r>
        <w:t xml:space="preserve">Commitment to continuous professional development for staff.</w:t>
      </w:r>
    </w:p>
    <w:p>
      <w:pPr>
        <w:numPr>
          <w:ilvl w:val="0"/>
          <w:numId w:val="1001"/>
        </w:numPr>
        <w:pStyle w:val="Compact"/>
      </w:pPr>
      <w:r>
        <w:t xml:space="preserve">Positive impact on student academic outcomes and well-being.</w:t>
      </w:r>
    </w:p>
    <w:p>
      <w:pPr>
        <w:numPr>
          <w:ilvl w:val="0"/>
          <w:numId w:val="1001"/>
        </w:numPr>
        <w:pStyle w:val="Compact"/>
      </w:pPr>
      <w:r>
        <w:t xml:space="preserve">Ability to navigate the complex socio-cultural dynamics of Istanbul.</w:t>
      </w:r>
    </w:p>
    <w:bookmarkEnd w:id="29"/>
    <w:bookmarkStart w:id="30" w:name="areas-for-improvement"/>
    <w:p>
      <w:pPr>
        <w:pStyle w:val="Heading2"/>
      </w:pPr>
      <w:r>
        <w:t xml:space="preserve">5. Areas for Improvement</w:t>
      </w:r>
    </w:p>
    <w:p>
      <w:pPr>
        <w:numPr>
          <w:ilvl w:val="0"/>
          <w:numId w:val="1002"/>
        </w:numPr>
        <w:pStyle w:val="Compact"/>
      </w:pPr>
      <w:r>
        <w:t xml:space="preserve">Enhance communication of the strategic vision to ensure staff alignment.</w:t>
      </w:r>
    </w:p>
    <w:p>
      <w:pPr>
        <w:numPr>
          <w:ilvl w:val="0"/>
          <w:numId w:val="1002"/>
        </w:numPr>
        <w:pStyle w:val="Compact"/>
      </w:pPr>
      <w:r>
        <w:t xml:space="preserve">Develop more structured mentorship programs for new teachers.</w:t>
      </w:r>
    </w:p>
    <w:p>
      <w:pPr>
        <w:numPr>
          <w:ilvl w:val="0"/>
          <w:numId w:val="1002"/>
        </w:numPr>
        <w:pStyle w:val="Compact"/>
      </w:pPr>
      <w:r>
        <w:t xml:space="preserve">Strengthen partnerships with local community organizations and businesses.</w:t>
      </w:r>
    </w:p>
    <w:p>
      <w:pPr>
        <w:numPr>
          <w:ilvl w:val="0"/>
          <w:numId w:val="1002"/>
        </w:numPr>
        <w:pStyle w:val="Compact"/>
      </w:pPr>
      <w:r>
        <w:t xml:space="preserve">Accelerate the integration of advanced digital tools in administrative and educational processes.</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proposed for the Education Administrator:</w:t>
      </w:r>
    </w:p>
    <w:p>
      <w:pPr>
        <w:numPr>
          <w:ilvl w:val="0"/>
          <w:numId w:val="1003"/>
        </w:numPr>
        <w:pStyle w:val="Compact"/>
      </w:pPr>
      <w:r>
        <w:rPr>
          <w:bCs/>
          <w:b/>
        </w:rPr>
        <w:t xml:space="preserve">Vision Communication:</w:t>
      </w:r>
      <w:r>
        <w:t xml:space="preserve"> </w:t>
      </w:r>
      <w:r>
        <w:t xml:space="preserve">Implement regular town hall meetings to discuss the institution's strategic goals and progress, ensuring all stakeholders in Istanbul are informed and engaged.</w:t>
      </w:r>
    </w:p>
    <w:p>
      <w:pPr>
        <w:numPr>
          <w:ilvl w:val="0"/>
          <w:numId w:val="1003"/>
        </w:numPr>
        <w:pStyle w:val="Compact"/>
      </w:pPr>
      <w:r>
        <w:rPr>
          <w:bCs/>
          <w:b/>
        </w:rPr>
        <w:t xml:space="preserve">Community Partnerships:</w:t>
      </w:r>
      <w:r>
        <w:t xml:space="preserve"> </w:t>
      </w:r>
      <w:r>
        <w:t xml:space="preserve">Establish a committee dedicated to forging partnerships with local enterprises and cultural institutions to enrich the student experience.</w:t>
      </w:r>
    </w:p>
    <w:p>
      <w:pPr>
        <w:numPr>
          <w:ilvl w:val="0"/>
          <w:numId w:val="1003"/>
        </w:numPr>
        <w:pStyle w:val="Compact"/>
      </w:pPr>
      <w:r>
        <w:rPr>
          <w:bCs/>
          <w:b/>
        </w:rPr>
        <w:t xml:space="preserve">Digital Transformation:</w:t>
      </w:r>
      <w:r>
        <w:t xml:space="preserve"> </w:t>
      </w:r>
      <w:r>
        <w:t xml:space="preserve">Invest in training for staff on emerging educational technologies to maintain competitiveness in Istanbul's evolving educational sector.</w:t>
      </w:r>
    </w:p>
    <w:p>
      <w:pPr>
        <w:numPr>
          <w:ilvl w:val="0"/>
          <w:numId w:val="1003"/>
        </w:numPr>
        <w:pStyle w:val="Compact"/>
      </w:pPr>
      <w:r>
        <w:rPr>
          <w:bCs/>
          <w:b/>
        </w:rPr>
        <w:t xml:space="preserve">Mentorship Program:</w:t>
      </w:r>
      <w:r>
        <w:t xml:space="preserve"> </w:t>
      </w:r>
      <w:r>
        <w:t xml:space="preserve">Design and launch a formal mentorship program to support new teachers in adapting to the local context and improving their pedagogical skills.</w:t>
      </w:r>
    </w:p>
    <w:bookmarkEnd w:id="31"/>
    <w:bookmarkStart w:id="32" w:name="conclusion"/>
    <w:p>
      <w:pPr>
        <w:pStyle w:val="Heading2"/>
      </w:pPr>
      <w:r>
        <w:t xml:space="preserve">7. Conclusion</w:t>
      </w:r>
    </w:p>
    <w:p>
      <w:pPr>
        <w:pStyle w:val="FirstParagraph"/>
      </w:pPr>
      <w:r>
        <w:t xml:space="preserve">This Peer Review Report concludes that the Education Administrator is performing at a high level, demonstrating strong leadership, operational competence, and a commitment to educational excellence. The administrator's work significantly contributes to the quality of education in Istanbul, Turkey. By addressing the identified areas for improvement, particularly in community engagement and digital integration, the administrator can further enhance the institution's impact and reputation. The review affirms the administrator's capability to lead effectively within the dynamic and demanding environment of Istanbul's educational sector.</w:t>
      </w:r>
    </w:p>
    <w:bookmarkEnd w:id="32"/>
    <w:p>
      <w:pPr>
        <w:pStyle w:val="BodyText"/>
      </w:pPr>
      <w:r>
        <w:rPr>
          <w:bCs/>
          <w:b/>
        </w:rPr>
        <w:t xml:space="preserve">Reviewed by:</w:t>
      </w:r>
    </w:p>
    <w:p>
      <w:pPr>
        <w:pStyle w:val="BodyText"/>
      </w:pPr>
      <w:r>
        <w:t xml:space="preserve">Dr. Ahmet Yilmaz</w:t>
      </w:r>
    </w:p>
    <w:p>
      <w:pPr>
        <w:pStyle w:val="BodyText"/>
      </w:pPr>
      <w:r>
        <w:t xml:space="preserve">Senior Educational Consultant</w:t>
      </w:r>
    </w:p>
    <w:p>
      <w:pPr>
        <w:pStyle w:val="BodyText"/>
      </w:pPr>
      <w:r>
        <w:t xml:space="preserve">Istanbul, Turkey</w:t>
      </w:r>
    </w:p>
    <w:p>
      <w:pPr>
        <w:pStyle w:val="BodyText"/>
      </w:pPr>
      <w:r>
        <w:br/>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Istanbul, Turkey</dc:title>
  <dc:creator/>
  <dc:language>en</dc:language>
  <cp:keywords/>
  <dcterms:created xsi:type="dcterms:W3CDTF">2026-10-10T04:13:30Z</dcterms:created>
  <dcterms:modified xsi:type="dcterms:W3CDTF">2026-10-10T04:13:30Z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